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BD6C14" w14:paraId="75453CC3" w14:textId="77777777">
        <w:tc>
          <w:tcPr>
            <w:tcW w:w="10466" w:type="dxa"/>
            <w:tcBorders>
              <w:top w:val="none" w:sz="0" w:space="0" w:color="FFFFFF"/>
              <w:left w:val="none" w:sz="0" w:space="0" w:color="FFFFFF"/>
              <w:bottom w:val="single" w:sz="12" w:space="0" w:color="2FBF9F"/>
              <w:right w:val="none" w:sz="0" w:space="0" w:color="FFFFFF"/>
            </w:tcBorders>
            <w:shd w:val="clear" w:color="auto" w:fill="14183E"/>
            <w:tcMar>
              <w:top w:w="220" w:type="dxa"/>
              <w:left w:w="280" w:type="dxa"/>
              <w:bottom w:w="200" w:type="dxa"/>
              <w:right w:w="280" w:type="dxa"/>
            </w:tcMar>
          </w:tcPr>
          <w:p w14:paraId="212B09E7" w14:textId="77777777" w:rsidR="00BD6C14" w:rsidRDefault="00000000">
            <w:pPr>
              <w:spacing w:after="80"/>
            </w:pPr>
            <w:r>
              <w:rPr>
                <w:b/>
                <w:bCs/>
                <w:color w:val="6FD6C6"/>
                <w:spacing w:val="60"/>
              </w:rPr>
              <w:t>BX PARTNERS</w:t>
            </w:r>
          </w:p>
          <w:p w14:paraId="0A6ADF3A" w14:textId="77777777" w:rsidR="00BD6C14" w:rsidRDefault="00000000">
            <w:pPr>
              <w:spacing w:after="100"/>
            </w:pPr>
            <w:r>
              <w:rPr>
                <w:b/>
                <w:bCs/>
                <w:color w:val="FFFFFF"/>
                <w:sz w:val="48"/>
                <w:szCs w:val="48"/>
              </w:rPr>
              <w:t>The BX Bitcoin Model</w:t>
            </w:r>
          </w:p>
          <w:p w14:paraId="41026AFE" w14:textId="77320762" w:rsidR="00BD6C14" w:rsidRDefault="00000000">
            <w:pPr>
              <w:spacing w:after="40"/>
            </w:pPr>
            <w:r>
              <w:rPr>
                <w:color w:val="C4CBEE"/>
                <w:sz w:val="22"/>
                <w:szCs w:val="22"/>
              </w:rPr>
              <w:t>A blended, rules-based approach to capturing Bitcoin's asymmetric upside</w:t>
            </w:r>
            <w:r w:rsidR="00726422">
              <w:rPr>
                <w:color w:val="C4CBEE"/>
                <w:sz w:val="22"/>
                <w:szCs w:val="22"/>
              </w:rPr>
              <w:t>,</w:t>
            </w:r>
          </w:p>
          <w:p w14:paraId="14CF7196" w14:textId="77777777" w:rsidR="00BD6C14" w:rsidRDefault="00000000">
            <w:r>
              <w:rPr>
                <w:b/>
                <w:bCs/>
                <w:color w:val="2FBF9F"/>
                <w:sz w:val="22"/>
                <w:szCs w:val="22"/>
              </w:rPr>
              <w:t>without the white-knuckle ride.</w:t>
            </w:r>
          </w:p>
        </w:tc>
      </w:tr>
    </w:tbl>
    <w:p w14:paraId="7C390AA9" w14:textId="77777777" w:rsidR="00BD6C14" w:rsidRPr="00040336" w:rsidRDefault="00000000">
      <w:pPr>
        <w:pBdr>
          <w:bottom w:val="single" w:sz="4" w:space="0" w:color="D8DCF0"/>
        </w:pBdr>
        <w:spacing w:before="160" w:after="120"/>
        <w:rPr>
          <w:i/>
          <w:iCs/>
          <w:color w:val="14183E"/>
          <w:sz w:val="24"/>
          <w:szCs w:val="24"/>
        </w:rPr>
      </w:pPr>
      <w:r w:rsidRPr="00040336">
        <w:rPr>
          <w:i/>
          <w:iCs/>
          <w:color w:val="14183E"/>
          <w:sz w:val="24"/>
          <w:szCs w:val="24"/>
        </w:rPr>
        <w:t xml:space="preserve">Bitcoin doesn't reward the bravest investor. It rewards the </w:t>
      </w:r>
      <w:r w:rsidRPr="00040336">
        <w:rPr>
          <w:b/>
          <w:bCs/>
          <w:i/>
          <w:iCs/>
          <w:color w:val="2FBF9F"/>
          <w:sz w:val="24"/>
          <w:szCs w:val="24"/>
        </w:rPr>
        <w:t>most disciplined one.</w:t>
      </w:r>
      <w:r w:rsidRPr="00040336">
        <w:rPr>
          <w:i/>
          <w:iCs/>
          <w:color w:val="14183E"/>
          <w:sz w:val="24"/>
          <w:szCs w:val="24"/>
        </w:rPr>
        <w:t xml:space="preserve"> The BX Bitcoin Model is built on that conviction — two systematic strategies that work in concert, turning volatility from a threat into a structural advantage.</w:t>
      </w:r>
    </w:p>
    <w:p w14:paraId="62B42BED" w14:textId="77777777" w:rsidR="00040336" w:rsidRDefault="00040336">
      <w:pPr>
        <w:pBdr>
          <w:bottom w:val="single" w:sz="4" w:space="0" w:color="D8DCF0"/>
        </w:pBdr>
        <w:spacing w:before="160" w:after="120"/>
      </w:pP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616"/>
        <w:gridCol w:w="2616"/>
        <w:gridCol w:w="2616"/>
        <w:gridCol w:w="2618"/>
      </w:tblGrid>
      <w:tr w:rsidR="00BD6C14" w14:paraId="20DBB339" w14:textId="77777777">
        <w:tc>
          <w:tcPr>
            <w:tcW w:w="2616" w:type="dxa"/>
            <w:tcBorders>
              <w:top w:val="none" w:sz="0" w:space="0" w:color="FFFFFF"/>
              <w:left w:val="none" w:sz="0" w:space="0" w:color="FFFFFF"/>
              <w:bottom w:val="none" w:sz="0" w:space="0" w:color="FFFFFF"/>
              <w:right w:val="none" w:sz="0" w:space="0" w:color="FFFFFF"/>
            </w:tcBorders>
            <w:shd w:val="clear" w:color="auto" w:fill="F4F6FC"/>
            <w:tcMar>
              <w:top w:w="100" w:type="dxa"/>
              <w:left w:w="60" w:type="dxa"/>
              <w:bottom w:w="100" w:type="dxa"/>
              <w:right w:w="60" w:type="dxa"/>
            </w:tcMar>
          </w:tcPr>
          <w:p w14:paraId="335ADF1F" w14:textId="77777777" w:rsidR="00BD6C14" w:rsidRDefault="00000000">
            <w:pPr>
              <w:spacing w:after="40"/>
              <w:jc w:val="center"/>
            </w:pPr>
            <w:r>
              <w:rPr>
                <w:b/>
                <w:bCs/>
                <w:color w:val="14183E"/>
                <w:sz w:val="34"/>
                <w:szCs w:val="34"/>
              </w:rPr>
              <w:t>160.3%</w:t>
            </w:r>
          </w:p>
          <w:p w14:paraId="402E6720" w14:textId="44F078CB" w:rsidR="00BD6C14" w:rsidRPr="00040336" w:rsidRDefault="00000000">
            <w:pPr>
              <w:jc w:val="center"/>
              <w:rPr>
                <w:b/>
                <w:bCs/>
              </w:rPr>
            </w:pPr>
            <w:r w:rsidRPr="000E14EA">
              <w:rPr>
                <w:b/>
                <w:bCs/>
                <w:color w:val="666F9E"/>
              </w:rPr>
              <w:t>Total return | Jun 2021–Jun 2026</w:t>
            </w:r>
          </w:p>
        </w:tc>
        <w:tc>
          <w:tcPr>
            <w:tcW w:w="2616" w:type="dxa"/>
            <w:tcBorders>
              <w:top w:val="none" w:sz="0" w:space="0" w:color="FFFFFF"/>
              <w:left w:val="single" w:sz="4" w:space="0" w:color="D8DCF0"/>
              <w:bottom w:val="none" w:sz="0" w:space="0" w:color="FFFFFF"/>
              <w:right w:val="none" w:sz="0" w:space="0" w:color="FFFFFF"/>
            </w:tcBorders>
            <w:shd w:val="clear" w:color="auto" w:fill="F4F6FC"/>
            <w:tcMar>
              <w:top w:w="100" w:type="dxa"/>
              <w:left w:w="60" w:type="dxa"/>
              <w:bottom w:w="100" w:type="dxa"/>
              <w:right w:w="60" w:type="dxa"/>
            </w:tcMar>
          </w:tcPr>
          <w:p w14:paraId="4F371FAD" w14:textId="77777777" w:rsidR="00BD6C14" w:rsidRDefault="00000000">
            <w:pPr>
              <w:spacing w:after="40"/>
              <w:jc w:val="center"/>
            </w:pPr>
            <w:r>
              <w:rPr>
                <w:b/>
                <w:bCs/>
                <w:color w:val="14183E"/>
                <w:sz w:val="34"/>
                <w:szCs w:val="34"/>
              </w:rPr>
              <w:t>21.3%</w:t>
            </w:r>
          </w:p>
          <w:p w14:paraId="10C6FCA7" w14:textId="77777777" w:rsidR="00BD6C14" w:rsidRPr="00040336" w:rsidRDefault="00000000">
            <w:pPr>
              <w:jc w:val="center"/>
              <w:rPr>
                <w:b/>
                <w:bCs/>
              </w:rPr>
            </w:pPr>
            <w:r w:rsidRPr="000E14EA">
              <w:rPr>
                <w:b/>
                <w:bCs/>
                <w:color w:val="666F9E"/>
              </w:rPr>
              <w:t>Ann. return vs. 13.7% for Bitcoin</w:t>
            </w:r>
          </w:p>
        </w:tc>
        <w:tc>
          <w:tcPr>
            <w:tcW w:w="2616" w:type="dxa"/>
            <w:tcBorders>
              <w:top w:val="none" w:sz="0" w:space="0" w:color="FFFFFF"/>
              <w:left w:val="single" w:sz="4" w:space="0" w:color="D8DCF0"/>
              <w:bottom w:val="none" w:sz="0" w:space="0" w:color="FFFFFF"/>
              <w:right w:val="none" w:sz="0" w:space="0" w:color="FFFFFF"/>
            </w:tcBorders>
            <w:shd w:val="clear" w:color="auto" w:fill="F4F6FC"/>
            <w:tcMar>
              <w:top w:w="100" w:type="dxa"/>
              <w:left w:w="60" w:type="dxa"/>
              <w:bottom w:w="100" w:type="dxa"/>
              <w:right w:w="60" w:type="dxa"/>
            </w:tcMar>
          </w:tcPr>
          <w:p w14:paraId="3CD74D1D" w14:textId="77777777" w:rsidR="00BD6C14" w:rsidRDefault="00000000">
            <w:pPr>
              <w:spacing w:after="40"/>
              <w:jc w:val="center"/>
            </w:pPr>
            <w:r>
              <w:rPr>
                <w:b/>
                <w:bCs/>
                <w:color w:val="14183E"/>
                <w:sz w:val="34"/>
                <w:szCs w:val="34"/>
              </w:rPr>
              <w:t>35%</w:t>
            </w:r>
          </w:p>
          <w:p w14:paraId="2AB61F16" w14:textId="77777777" w:rsidR="00BD6C14" w:rsidRPr="00040336" w:rsidRDefault="00000000">
            <w:pPr>
              <w:jc w:val="center"/>
              <w:rPr>
                <w:b/>
                <w:bCs/>
              </w:rPr>
            </w:pPr>
            <w:r w:rsidRPr="000E14EA">
              <w:rPr>
                <w:b/>
                <w:bCs/>
                <w:color w:val="666F9E"/>
              </w:rPr>
              <w:t>Lower ann. volatility vs. Bitcoin</w:t>
            </w:r>
          </w:p>
        </w:tc>
        <w:tc>
          <w:tcPr>
            <w:tcW w:w="2618" w:type="dxa"/>
            <w:tcBorders>
              <w:top w:val="none" w:sz="0" w:space="0" w:color="FFFFFF"/>
              <w:left w:val="single" w:sz="4" w:space="0" w:color="D8DCF0"/>
              <w:bottom w:val="none" w:sz="0" w:space="0" w:color="FFFFFF"/>
              <w:right w:val="none" w:sz="0" w:space="0" w:color="FFFFFF"/>
            </w:tcBorders>
            <w:shd w:val="clear" w:color="auto" w:fill="F4F6FC"/>
            <w:tcMar>
              <w:top w:w="100" w:type="dxa"/>
              <w:left w:w="60" w:type="dxa"/>
              <w:bottom w:w="100" w:type="dxa"/>
              <w:right w:w="60" w:type="dxa"/>
            </w:tcMar>
          </w:tcPr>
          <w:p w14:paraId="27D368C2" w14:textId="77777777" w:rsidR="00BD6C14" w:rsidRDefault="00000000">
            <w:pPr>
              <w:spacing w:after="40"/>
              <w:jc w:val="center"/>
            </w:pPr>
            <w:r>
              <w:rPr>
                <w:b/>
                <w:bCs/>
                <w:color w:val="14183E"/>
                <w:sz w:val="34"/>
                <w:szCs w:val="34"/>
              </w:rPr>
              <w:t>17 pts</w:t>
            </w:r>
          </w:p>
          <w:p w14:paraId="7466A52D" w14:textId="3E3BEDFC" w:rsidR="00BD6C14" w:rsidRPr="00040336" w:rsidRDefault="007C0781">
            <w:pPr>
              <w:jc w:val="center"/>
              <w:rPr>
                <w:b/>
                <w:bCs/>
              </w:rPr>
            </w:pPr>
            <w:r w:rsidRPr="007C0781">
              <w:rPr>
                <w:b/>
                <w:bCs/>
                <w:color w:val="666F9E"/>
              </w:rPr>
              <w:t>-59.6%</w:t>
            </w:r>
            <w:r>
              <w:rPr>
                <w:b/>
                <w:bCs/>
                <w:color w:val="666F9E"/>
              </w:rPr>
              <w:t xml:space="preserve"> </w:t>
            </w:r>
            <w:r w:rsidRPr="007C0781">
              <w:rPr>
                <w:b/>
                <w:bCs/>
                <w:color w:val="666F9E"/>
              </w:rPr>
              <w:t>Max drawdown vs. Bitcoin's -76.6%</w:t>
            </w:r>
          </w:p>
        </w:tc>
      </w:tr>
    </w:tbl>
    <w:p w14:paraId="27775F8F" w14:textId="3D107853" w:rsidR="00BD6C14" w:rsidRDefault="000E14EA">
      <w:pPr>
        <w:spacing w:before="80"/>
      </w:pPr>
      <w:r w:rsidRPr="000E14EA">
        <w:drawing>
          <wp:inline distT="0" distB="0" distL="0" distR="0" wp14:anchorId="3BE4E6B6" wp14:editId="662562F4">
            <wp:extent cx="6645910" cy="3319780"/>
            <wp:effectExtent l="0" t="0" r="2540" b="0"/>
            <wp:docPr id="12" name="Picture 11">
              <a:extLst xmlns:a="http://schemas.openxmlformats.org/drawingml/2006/main">
                <a:ext uri="{FF2B5EF4-FFF2-40B4-BE49-F238E27FC236}">
                  <a16:creationId xmlns:a16="http://schemas.microsoft.com/office/drawing/2014/main" id="{394A16AA-12D7-7FC4-4B00-95FF5A08EB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394A16AA-12D7-7FC4-4B00-95FF5A08EBEE}"/>
                        </a:ext>
                      </a:extLst>
                    </pic:cNvPr>
                    <pic:cNvPicPr>
                      <a:picLocks noChangeAspect="1"/>
                    </pic:cNvPicPr>
                  </pic:nvPicPr>
                  <pic:blipFill>
                    <a:blip r:embed="rId5"/>
                    <a:stretch>
                      <a:fillRect/>
                    </a:stretch>
                  </pic:blipFill>
                  <pic:spPr>
                    <a:xfrm>
                      <a:off x="0" y="0"/>
                      <a:ext cx="6645910" cy="3319780"/>
                    </a:xfrm>
                    <a:prstGeom prst="rect">
                      <a:avLst/>
                    </a:prstGeom>
                  </pic:spPr>
                </pic:pic>
              </a:graphicData>
            </a:graphic>
          </wp:inline>
        </w:drawing>
      </w:r>
    </w:p>
    <w:p w14:paraId="37333F62" w14:textId="61231B58" w:rsidR="00E436B1" w:rsidRDefault="00E436B1" w:rsidP="00FB610F">
      <w:pPr>
        <w:spacing w:before="80"/>
        <w:rPr>
          <w:color w:val="323E4F" w:themeColor="text2" w:themeShade="BF"/>
          <w:sz w:val="20"/>
          <w:szCs w:val="20"/>
        </w:rPr>
      </w:pPr>
      <w:r w:rsidRPr="00E436B1">
        <w:rPr>
          <w:b/>
          <w:bCs/>
          <w:color w:val="323E4F" w:themeColor="text2" w:themeShade="BF"/>
          <w:sz w:val="20"/>
          <w:szCs w:val="20"/>
        </w:rPr>
        <w:t>Portfolio Allocation Over Time</w:t>
      </w:r>
    </w:p>
    <w:p w14:paraId="4CCBAF8A" w14:textId="53246B3F" w:rsidR="00FB610F" w:rsidRPr="00FB610F" w:rsidRDefault="00FB610F" w:rsidP="00FB610F">
      <w:pPr>
        <w:spacing w:before="80"/>
        <w:rPr>
          <w:color w:val="323E4F" w:themeColor="text2" w:themeShade="BF"/>
          <w:sz w:val="20"/>
          <w:szCs w:val="20"/>
        </w:rPr>
      </w:pPr>
      <w:r w:rsidRPr="00FB610F">
        <w:rPr>
          <w:color w:val="323E4F" w:themeColor="text2" w:themeShade="BF"/>
          <w:sz w:val="20"/>
          <w:szCs w:val="20"/>
        </w:rPr>
        <w:t>The chart shows how the Dynalogic strategy moves between IBIT (Bitcoin exposure) and SHV (short-term U.S. Treasuries) over time. When Bitcoin climbs to predetermined levels, the strategy takes profits and parks the proceeds in SHV earning yield while waiting. When Bitcoin pulls back, that cash rotates back into IBIT at larger sizes.</w:t>
      </w:r>
    </w:p>
    <w:p w14:paraId="3D1A2743" w14:textId="77777777" w:rsidR="00FB610F" w:rsidRPr="00FB610F" w:rsidRDefault="00FB610F" w:rsidP="00FB610F">
      <w:pPr>
        <w:spacing w:before="80"/>
        <w:rPr>
          <w:color w:val="323E4F" w:themeColor="text2" w:themeShade="BF"/>
        </w:rPr>
      </w:pPr>
      <w:r w:rsidRPr="00FB610F">
        <w:rPr>
          <w:color w:val="323E4F" w:themeColor="text2" w:themeShade="BF"/>
          <w:sz w:val="20"/>
          <w:szCs w:val="20"/>
        </w:rPr>
        <w:t>You can see this play out clearly in Q1 2025, when the strategy shifted over half the portfolio into SHV during a period of Bitcoin weakness, then gradually redeployed as conditions improved. It's a simple discipline: sell into strength, earn while you wait, buy back smarter.</w:t>
      </w:r>
    </w:p>
    <w:p w14:paraId="774C7D00" w14:textId="77777777" w:rsidR="00FB610F" w:rsidRDefault="00FB610F">
      <w:pPr>
        <w:spacing w:before="80"/>
      </w:pP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03"/>
        <w:gridCol w:w="60"/>
        <w:gridCol w:w="5203"/>
      </w:tblGrid>
      <w:tr w:rsidR="00BD6C14" w:rsidRPr="00040336" w14:paraId="67E59BFA" w14:textId="77777777" w:rsidTr="00040336">
        <w:tc>
          <w:tcPr>
            <w:tcW w:w="5203" w:type="dxa"/>
            <w:tcBorders>
              <w:top w:val="none" w:sz="0" w:space="0" w:color="FFFFFF"/>
              <w:left w:val="none" w:sz="0" w:space="0" w:color="FFFFFF"/>
              <w:bottom w:val="none" w:sz="0" w:space="0" w:color="FFFFFF"/>
              <w:right w:val="none" w:sz="0" w:space="0" w:color="FFFFFF"/>
            </w:tcBorders>
            <w:tcMar>
              <w:top w:w="100" w:type="dxa"/>
              <w:left w:w="100" w:type="dxa"/>
              <w:bottom w:w="100" w:type="dxa"/>
              <w:right w:w="100" w:type="dxa"/>
            </w:tcMar>
          </w:tcPr>
          <w:p w14:paraId="2999C03A" w14:textId="50210BE4" w:rsidR="00BD6C14" w:rsidRPr="00040336" w:rsidRDefault="00000000">
            <w:pPr>
              <w:spacing w:after="40"/>
              <w:rPr>
                <w:sz w:val="20"/>
                <w:szCs w:val="20"/>
              </w:rPr>
            </w:pPr>
            <w:r w:rsidRPr="00040336">
              <w:rPr>
                <w:b/>
                <w:bCs/>
                <w:color w:val="FFFFFF"/>
                <w:sz w:val="20"/>
                <w:szCs w:val="20"/>
                <w:shd w:val="clear" w:color="auto" w:fill="14183E"/>
              </w:rPr>
              <w:t xml:space="preserve">1  </w:t>
            </w:r>
            <w:r w:rsidRPr="00040336">
              <w:rPr>
                <w:b/>
                <w:bCs/>
                <w:color w:val="14183E"/>
                <w:sz w:val="20"/>
                <w:szCs w:val="20"/>
              </w:rPr>
              <w:t>The IBIT Rules-Based Strategy</w:t>
            </w:r>
          </w:p>
          <w:p w14:paraId="0A702B4B" w14:textId="77777777" w:rsidR="00BD6C14" w:rsidRPr="00040336" w:rsidRDefault="00000000">
            <w:pPr>
              <w:spacing w:after="80"/>
              <w:rPr>
                <w:sz w:val="20"/>
                <w:szCs w:val="20"/>
              </w:rPr>
            </w:pPr>
            <w:r w:rsidRPr="00040336">
              <w:rPr>
                <w:i/>
                <w:iCs/>
                <w:color w:val="2FBF9F"/>
                <w:sz w:val="20"/>
                <w:szCs w:val="20"/>
              </w:rPr>
              <w:t>Discipline over emotion</w:t>
            </w:r>
          </w:p>
          <w:p w14:paraId="0C3994E5" w14:textId="77777777" w:rsidR="00BD6C14" w:rsidRPr="00040336" w:rsidRDefault="00000000">
            <w:pPr>
              <w:spacing w:after="80"/>
              <w:rPr>
                <w:sz w:val="20"/>
                <w:szCs w:val="20"/>
              </w:rPr>
            </w:pPr>
            <w:r w:rsidRPr="00040336">
              <w:rPr>
                <w:color w:val="2C325C"/>
                <w:sz w:val="20"/>
                <w:szCs w:val="20"/>
              </w:rPr>
              <w:t>Most investors know they should sell high and buy low. Few actually do. This strategy removes that decision from human hands entirely — pre-programming when to take profits and when to re-enter, at every price level, before markets move.</w:t>
            </w:r>
          </w:p>
          <w:p w14:paraId="1811D4F5" w14:textId="77777777" w:rsidR="00BD6C14" w:rsidRPr="00040336" w:rsidRDefault="00000000">
            <w:pPr>
              <w:spacing w:after="60"/>
              <w:rPr>
                <w:sz w:val="20"/>
                <w:szCs w:val="20"/>
              </w:rPr>
            </w:pPr>
            <w:r w:rsidRPr="00040336">
              <w:rPr>
                <w:b/>
                <w:bCs/>
                <w:color w:val="2FBF9F"/>
                <w:sz w:val="20"/>
                <w:szCs w:val="20"/>
              </w:rPr>
              <w:t xml:space="preserve">• </w:t>
            </w:r>
            <w:r w:rsidRPr="00040336">
              <w:rPr>
                <w:b/>
                <w:bCs/>
                <w:color w:val="14183E"/>
                <w:sz w:val="20"/>
                <w:szCs w:val="20"/>
              </w:rPr>
              <w:t xml:space="preserve">Tiered profit-taking: </w:t>
            </w:r>
            <w:r w:rsidRPr="00040336">
              <w:rPr>
                <w:color w:val="2C325C"/>
                <w:sz w:val="20"/>
                <w:szCs w:val="20"/>
              </w:rPr>
              <w:t>As Bitcoin climbs, the strategy systematically locks in gains at predetermined price levels — protecting capital before the crowd senses the peak.</w:t>
            </w:r>
          </w:p>
          <w:p w14:paraId="7F238494" w14:textId="77777777" w:rsidR="00BD6C14" w:rsidRPr="00040336" w:rsidRDefault="00000000">
            <w:pPr>
              <w:spacing w:after="60"/>
              <w:rPr>
                <w:sz w:val="20"/>
                <w:szCs w:val="20"/>
              </w:rPr>
            </w:pPr>
            <w:r w:rsidRPr="00040336">
              <w:rPr>
                <w:b/>
                <w:bCs/>
                <w:color w:val="2FBF9F"/>
                <w:sz w:val="20"/>
                <w:szCs w:val="20"/>
              </w:rPr>
              <w:lastRenderedPageBreak/>
              <w:t xml:space="preserve">• </w:t>
            </w:r>
            <w:r w:rsidRPr="00040336">
              <w:rPr>
                <w:b/>
                <w:bCs/>
                <w:color w:val="14183E"/>
                <w:sz w:val="20"/>
                <w:szCs w:val="20"/>
              </w:rPr>
              <w:t xml:space="preserve">Stepped re-entry: </w:t>
            </w:r>
            <w:r w:rsidRPr="00040336">
              <w:rPr>
                <w:color w:val="2C325C"/>
                <w:sz w:val="20"/>
                <w:szCs w:val="20"/>
              </w:rPr>
              <w:t>When prices fall to predefined thresholds, accumulated cash deploys back in at larger size — buying conviction precisely where fear is highest.</w:t>
            </w:r>
          </w:p>
          <w:p w14:paraId="10A23035" w14:textId="77777777" w:rsidR="00BD6C14" w:rsidRPr="00040336" w:rsidRDefault="00000000">
            <w:pPr>
              <w:spacing w:after="60"/>
              <w:rPr>
                <w:sz w:val="20"/>
                <w:szCs w:val="20"/>
              </w:rPr>
            </w:pPr>
            <w:r w:rsidRPr="00040336">
              <w:rPr>
                <w:b/>
                <w:bCs/>
                <w:color w:val="2FBF9F"/>
                <w:sz w:val="20"/>
                <w:szCs w:val="20"/>
              </w:rPr>
              <w:t xml:space="preserve">• </w:t>
            </w:r>
            <w:r w:rsidRPr="00040336">
              <w:rPr>
                <w:b/>
                <w:bCs/>
                <w:color w:val="14183E"/>
                <w:sz w:val="20"/>
                <w:szCs w:val="20"/>
              </w:rPr>
              <w:t xml:space="preserve">Dynamic position sizing: </w:t>
            </w:r>
            <w:r w:rsidRPr="00040336">
              <w:rPr>
                <w:color w:val="2C325C"/>
                <w:sz w:val="20"/>
                <w:szCs w:val="20"/>
              </w:rPr>
              <w:t>Trade size scales with price movement. A self-reinforcing discipline that capitalises on volatility rather than being victimised by it.</w:t>
            </w:r>
          </w:p>
        </w:tc>
        <w:tc>
          <w:tcPr>
            <w:tcW w:w="60" w:type="dxa"/>
            <w:tcBorders>
              <w:top w:val="none" w:sz="0" w:space="0" w:color="FFFFFF"/>
              <w:left w:val="none" w:sz="0" w:space="0" w:color="FFFFFF"/>
              <w:bottom w:val="none" w:sz="0" w:space="0" w:color="FFFFFF"/>
              <w:right w:val="none" w:sz="0" w:space="0" w:color="FFFFFF"/>
            </w:tcBorders>
            <w:shd w:val="clear" w:color="auto" w:fill="E1E5F5"/>
            <w:tcMar>
              <w:top w:w="0" w:type="dxa"/>
              <w:left w:w="0" w:type="dxa"/>
              <w:bottom w:w="0" w:type="dxa"/>
              <w:right w:w="0" w:type="dxa"/>
            </w:tcMar>
          </w:tcPr>
          <w:p w14:paraId="39202045" w14:textId="77777777" w:rsidR="00BD6C14" w:rsidRPr="00040336" w:rsidRDefault="00BD6C14">
            <w:pPr>
              <w:rPr>
                <w:sz w:val="20"/>
                <w:szCs w:val="20"/>
              </w:rPr>
            </w:pPr>
          </w:p>
        </w:tc>
        <w:tc>
          <w:tcPr>
            <w:tcW w:w="5203" w:type="dxa"/>
            <w:tcBorders>
              <w:top w:val="none" w:sz="0" w:space="0" w:color="FFFFFF"/>
              <w:left w:val="none" w:sz="0" w:space="0" w:color="FFFFFF"/>
              <w:bottom w:val="none" w:sz="0" w:space="0" w:color="FFFFFF"/>
              <w:right w:val="none" w:sz="0" w:space="0" w:color="FFFFFF"/>
            </w:tcBorders>
            <w:tcMar>
              <w:top w:w="100" w:type="dxa"/>
              <w:left w:w="100" w:type="dxa"/>
              <w:bottom w:w="100" w:type="dxa"/>
              <w:right w:w="100" w:type="dxa"/>
            </w:tcMar>
          </w:tcPr>
          <w:p w14:paraId="2082C7B1" w14:textId="77777777" w:rsidR="00BD6C14" w:rsidRPr="00040336" w:rsidRDefault="00000000">
            <w:pPr>
              <w:spacing w:after="40"/>
              <w:rPr>
                <w:sz w:val="20"/>
                <w:szCs w:val="20"/>
              </w:rPr>
            </w:pPr>
            <w:r w:rsidRPr="00040336">
              <w:rPr>
                <w:b/>
                <w:bCs/>
                <w:color w:val="FFFFFF"/>
                <w:sz w:val="20"/>
                <w:szCs w:val="20"/>
                <w:shd w:val="clear" w:color="auto" w:fill="14183E"/>
              </w:rPr>
              <w:t xml:space="preserve">2  </w:t>
            </w:r>
            <w:r w:rsidRPr="00040336">
              <w:rPr>
                <w:b/>
                <w:bCs/>
                <w:color w:val="14183E"/>
                <w:sz w:val="20"/>
                <w:szCs w:val="20"/>
              </w:rPr>
              <w:t>The phaseinvest PDE Strategy</w:t>
            </w:r>
          </w:p>
          <w:p w14:paraId="543395DC" w14:textId="77777777" w:rsidR="00BD6C14" w:rsidRPr="00040336" w:rsidRDefault="00000000">
            <w:pPr>
              <w:spacing w:after="80"/>
              <w:rPr>
                <w:sz w:val="20"/>
                <w:szCs w:val="20"/>
              </w:rPr>
            </w:pPr>
            <w:r w:rsidRPr="00040336">
              <w:rPr>
                <w:i/>
                <w:iCs/>
                <w:color w:val="2FBF9F"/>
                <w:sz w:val="20"/>
                <w:szCs w:val="20"/>
              </w:rPr>
              <w:t>See the turning point before it arrives</w:t>
            </w:r>
          </w:p>
          <w:p w14:paraId="5A08FA7A" w14:textId="77777777" w:rsidR="00BD6C14" w:rsidRPr="00040336" w:rsidRDefault="00000000">
            <w:pPr>
              <w:spacing w:after="80"/>
              <w:rPr>
                <w:sz w:val="20"/>
                <w:szCs w:val="20"/>
              </w:rPr>
            </w:pPr>
            <w:r w:rsidRPr="00040336">
              <w:rPr>
                <w:color w:val="2C325C"/>
                <w:sz w:val="20"/>
                <w:szCs w:val="20"/>
              </w:rPr>
              <w:t>Traditional momentum models are always looking in the rear-view mirror — measuring price across different regimes, lagging at the exact moments when speed matters most. The Phase Detection Engine (PDE) identifies structural breaks in volatility to establish the current market phase, then measures momentum only within that regime.</w:t>
            </w:r>
          </w:p>
          <w:p w14:paraId="257E0731" w14:textId="77777777" w:rsidR="00BD6C14" w:rsidRPr="00040336" w:rsidRDefault="00000000">
            <w:pPr>
              <w:spacing w:after="60"/>
              <w:rPr>
                <w:sz w:val="20"/>
                <w:szCs w:val="20"/>
              </w:rPr>
            </w:pPr>
            <w:r w:rsidRPr="00040336">
              <w:rPr>
                <w:b/>
                <w:bCs/>
                <w:color w:val="2FBF9F"/>
                <w:sz w:val="20"/>
                <w:szCs w:val="20"/>
              </w:rPr>
              <w:t xml:space="preserve">• </w:t>
            </w:r>
            <w:r w:rsidRPr="00040336">
              <w:rPr>
                <w:b/>
                <w:bCs/>
                <w:color w:val="14183E"/>
                <w:sz w:val="20"/>
                <w:szCs w:val="20"/>
              </w:rPr>
              <w:t xml:space="preserve">Regime-based measurement: </w:t>
            </w:r>
            <w:r w:rsidRPr="00040336">
              <w:rPr>
                <w:color w:val="2C325C"/>
                <w:sz w:val="20"/>
                <w:szCs w:val="20"/>
              </w:rPr>
              <w:t>PDE establishes a unique Phase Date for each market environment — so signals are always fresh and never contaminated by a prior regime.</w:t>
            </w:r>
          </w:p>
          <w:p w14:paraId="6EE6B9B7" w14:textId="77777777" w:rsidR="00BD6C14" w:rsidRPr="00040336" w:rsidRDefault="00000000">
            <w:pPr>
              <w:spacing w:after="60"/>
              <w:rPr>
                <w:sz w:val="20"/>
                <w:szCs w:val="20"/>
              </w:rPr>
            </w:pPr>
            <w:r w:rsidRPr="00040336">
              <w:rPr>
                <w:b/>
                <w:bCs/>
                <w:color w:val="2FBF9F"/>
                <w:sz w:val="20"/>
                <w:szCs w:val="20"/>
              </w:rPr>
              <w:lastRenderedPageBreak/>
              <w:t xml:space="preserve">• </w:t>
            </w:r>
            <w:r w:rsidRPr="00040336">
              <w:rPr>
                <w:b/>
                <w:bCs/>
                <w:color w:val="14183E"/>
                <w:sz w:val="20"/>
                <w:szCs w:val="20"/>
              </w:rPr>
              <w:t xml:space="preserve">Binary exposure rule: </w:t>
            </w:r>
            <w:r w:rsidRPr="00040336">
              <w:rPr>
                <w:color w:val="2C325C"/>
                <w:sz w:val="20"/>
                <w:szCs w:val="20"/>
              </w:rPr>
              <w:t>When momentum is positive: maximum Bitcoin exposure. When it turns negative: step back to a minimal base and allocate to Treasuries — preserving capital while keeping a toehold for rapid re-entry.</w:t>
            </w:r>
          </w:p>
          <w:p w14:paraId="246F964C" w14:textId="77777777" w:rsidR="00BD6C14" w:rsidRPr="00040336" w:rsidRDefault="00000000">
            <w:pPr>
              <w:spacing w:after="60"/>
              <w:rPr>
                <w:sz w:val="20"/>
                <w:szCs w:val="20"/>
              </w:rPr>
            </w:pPr>
            <w:r w:rsidRPr="00040336">
              <w:rPr>
                <w:b/>
                <w:bCs/>
                <w:color w:val="2FBF9F"/>
                <w:sz w:val="20"/>
                <w:szCs w:val="20"/>
              </w:rPr>
              <w:t xml:space="preserve">• </w:t>
            </w:r>
            <w:r w:rsidRPr="00040336">
              <w:rPr>
                <w:b/>
                <w:bCs/>
                <w:color w:val="14183E"/>
                <w:sz w:val="20"/>
                <w:szCs w:val="20"/>
              </w:rPr>
              <w:t xml:space="preserve">Proven edge: </w:t>
            </w:r>
            <w:r w:rsidRPr="00040336">
              <w:rPr>
                <w:color w:val="2C325C"/>
                <w:sz w:val="20"/>
                <w:szCs w:val="20"/>
              </w:rPr>
              <w:t>PDE was originally built for equities, consistently outperforming benchmarks. That same precision is now applied to Bitcoin.</w:t>
            </w:r>
          </w:p>
        </w:tc>
      </w:tr>
    </w:tbl>
    <w:p w14:paraId="6E9DB2C3" w14:textId="77777777" w:rsidR="00BD6C14" w:rsidRDefault="00BD6C14">
      <w:pPr>
        <w:spacing w:before="80"/>
      </w:pP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488"/>
        <w:gridCol w:w="3488"/>
        <w:gridCol w:w="3490"/>
      </w:tblGrid>
      <w:tr w:rsidR="00BD6C14" w:rsidRPr="00040336" w14:paraId="52B127C2" w14:textId="77777777">
        <w:tc>
          <w:tcPr>
            <w:tcW w:w="10466" w:type="dxa"/>
            <w:gridSpan w:val="3"/>
            <w:tcBorders>
              <w:top w:val="none" w:sz="0" w:space="0" w:color="FFFFFF"/>
              <w:left w:val="none" w:sz="0" w:space="0" w:color="FFFFFF"/>
              <w:bottom w:val="none" w:sz="0" w:space="0" w:color="FFFFFF"/>
              <w:right w:val="none" w:sz="0" w:space="0" w:color="FFFFFF"/>
            </w:tcBorders>
            <w:shd w:val="clear" w:color="auto" w:fill="14183E"/>
            <w:tcMar>
              <w:top w:w="80" w:type="dxa"/>
              <w:left w:w="200" w:type="dxa"/>
              <w:bottom w:w="60" w:type="dxa"/>
              <w:right w:w="200" w:type="dxa"/>
            </w:tcMar>
          </w:tcPr>
          <w:p w14:paraId="32DFE717" w14:textId="77777777" w:rsidR="00BD6C14" w:rsidRPr="00040336" w:rsidRDefault="00000000">
            <w:r w:rsidRPr="00040336">
              <w:rPr>
                <w:b/>
                <w:bCs/>
                <w:color w:val="6FD6C6"/>
                <w:spacing w:val="30"/>
              </w:rPr>
              <w:t>WHY THE 50/50 BLEND WORKS</w:t>
            </w:r>
          </w:p>
        </w:tc>
      </w:tr>
      <w:tr w:rsidR="00BD6C14" w:rsidRPr="00040336" w14:paraId="0D85D3B8" w14:textId="77777777">
        <w:tc>
          <w:tcPr>
            <w:tcW w:w="3488" w:type="dxa"/>
            <w:tcBorders>
              <w:top w:val="none" w:sz="0" w:space="0" w:color="FFFFFF"/>
              <w:left w:val="none" w:sz="0" w:space="0" w:color="FFFFFF"/>
              <w:bottom w:val="none" w:sz="0" w:space="0" w:color="FFFFFF"/>
              <w:right w:val="none" w:sz="0" w:space="0" w:color="FFFFFF"/>
            </w:tcBorders>
            <w:shd w:val="clear" w:color="auto" w:fill="14183E"/>
            <w:tcMar>
              <w:top w:w="80" w:type="dxa"/>
              <w:left w:w="140" w:type="dxa"/>
              <w:bottom w:w="120" w:type="dxa"/>
              <w:right w:w="100" w:type="dxa"/>
            </w:tcMar>
          </w:tcPr>
          <w:p w14:paraId="714F2579" w14:textId="77777777" w:rsidR="00BD6C14" w:rsidRPr="00040336" w:rsidRDefault="00000000">
            <w:pPr>
              <w:spacing w:after="60"/>
            </w:pPr>
            <w:r w:rsidRPr="00040336">
              <w:rPr>
                <w:b/>
                <w:bCs/>
                <w:color w:val="FFFFFF"/>
              </w:rPr>
              <w:t>Two uncorrelated signals</w:t>
            </w:r>
          </w:p>
          <w:p w14:paraId="045D97A9" w14:textId="77777777" w:rsidR="00BD6C14" w:rsidRPr="00040336" w:rsidRDefault="00000000">
            <w:r w:rsidRPr="00040336">
              <w:rPr>
                <w:color w:val="C4CBEE"/>
              </w:rPr>
              <w:t>IBIT acts on price levels; PDE acts on regime changes. Because these signals move independently, they provide a natural hedge — when one misses, the other is already responding.</w:t>
            </w:r>
          </w:p>
        </w:tc>
        <w:tc>
          <w:tcPr>
            <w:tcW w:w="3488" w:type="dxa"/>
            <w:tcBorders>
              <w:top w:val="none" w:sz="0" w:space="0" w:color="FFFFFF"/>
              <w:left w:val="single" w:sz="4" w:space="0" w:color="1E2550"/>
              <w:bottom w:val="none" w:sz="0" w:space="0" w:color="FFFFFF"/>
              <w:right w:val="none" w:sz="0" w:space="0" w:color="FFFFFF"/>
            </w:tcBorders>
            <w:shd w:val="clear" w:color="auto" w:fill="14183E"/>
            <w:tcMar>
              <w:top w:w="80" w:type="dxa"/>
              <w:left w:w="140" w:type="dxa"/>
              <w:bottom w:w="120" w:type="dxa"/>
              <w:right w:w="100" w:type="dxa"/>
            </w:tcMar>
          </w:tcPr>
          <w:p w14:paraId="158FD5E2" w14:textId="77777777" w:rsidR="00BD6C14" w:rsidRPr="00040336" w:rsidRDefault="00000000">
            <w:pPr>
              <w:spacing w:after="60"/>
            </w:pPr>
            <w:r w:rsidRPr="00040336">
              <w:rPr>
                <w:b/>
                <w:bCs/>
                <w:color w:val="FFFFFF"/>
              </w:rPr>
              <w:t>Complementary in every market</w:t>
            </w:r>
          </w:p>
          <w:p w14:paraId="4A0D0E60" w14:textId="77777777" w:rsidR="00BD6C14" w:rsidRPr="00040336" w:rsidRDefault="00000000">
            <w:r w:rsidRPr="00040336">
              <w:rPr>
                <w:color w:val="C4CBEE"/>
              </w:rPr>
              <w:t>In a downturn, PDE reduces exposure early while IBIT scales in at lower tiers. In a bull run, IBIT banks profits at each level while PDE stays fully exposed. Together, they cover both sides.</w:t>
            </w:r>
          </w:p>
        </w:tc>
        <w:tc>
          <w:tcPr>
            <w:tcW w:w="3490" w:type="dxa"/>
            <w:tcBorders>
              <w:top w:val="none" w:sz="0" w:space="0" w:color="FFFFFF"/>
              <w:left w:val="single" w:sz="4" w:space="0" w:color="1E2550"/>
              <w:bottom w:val="none" w:sz="0" w:space="0" w:color="FFFFFF"/>
              <w:right w:val="none" w:sz="0" w:space="0" w:color="FFFFFF"/>
            </w:tcBorders>
            <w:shd w:val="clear" w:color="auto" w:fill="14183E"/>
            <w:tcMar>
              <w:top w:w="80" w:type="dxa"/>
              <w:left w:w="140" w:type="dxa"/>
              <w:bottom w:w="120" w:type="dxa"/>
              <w:right w:w="100" w:type="dxa"/>
            </w:tcMar>
          </w:tcPr>
          <w:p w14:paraId="71ED5974" w14:textId="77777777" w:rsidR="00BD6C14" w:rsidRPr="00040336" w:rsidRDefault="00000000">
            <w:pPr>
              <w:spacing w:after="60"/>
            </w:pPr>
            <w:r w:rsidRPr="00040336">
              <w:rPr>
                <w:b/>
                <w:bCs/>
                <w:color w:val="FFFFFF"/>
              </w:rPr>
              <w:t>Lower beta, better outcomes</w:t>
            </w:r>
          </w:p>
          <w:p w14:paraId="398DBC84" w14:textId="77777777" w:rsidR="00BD6C14" w:rsidRPr="00040336" w:rsidRDefault="00000000">
            <w:r w:rsidRPr="00040336">
              <w:rPr>
                <w:color w:val="C4CBEE"/>
              </w:rPr>
              <w:t>The combination delivers a lower beta to Bitcoin than buy-and-hold — historically outperforming in both trending and range-bound markets with meaningfully reduced drawdowns.</w:t>
            </w:r>
          </w:p>
        </w:tc>
      </w:tr>
    </w:tbl>
    <w:p w14:paraId="7CF13A7E" w14:textId="58C5E217" w:rsidR="00BD6C14" w:rsidRDefault="00BD6C14"/>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070"/>
        <w:gridCol w:w="4396"/>
      </w:tblGrid>
      <w:tr w:rsidR="00BD6C14" w14:paraId="1050D62B" w14:textId="77777777">
        <w:tc>
          <w:tcPr>
            <w:tcW w:w="6070" w:type="dxa"/>
            <w:tcBorders>
              <w:top w:val="none" w:sz="0" w:space="0" w:color="FFFFFF"/>
              <w:left w:val="none" w:sz="0" w:space="0" w:color="FFFFFF"/>
              <w:bottom w:val="none" w:sz="0" w:space="0" w:color="FFFFFF"/>
              <w:right w:val="none" w:sz="0" w:space="0" w:color="FFFFFF"/>
            </w:tcBorders>
            <w:shd w:val="clear" w:color="auto" w:fill="14183E"/>
            <w:tcMar>
              <w:top w:w="140" w:type="dxa"/>
              <w:left w:w="200" w:type="dxa"/>
              <w:bottom w:w="140" w:type="dxa"/>
              <w:right w:w="100" w:type="dxa"/>
            </w:tcMar>
            <w:vAlign w:val="center"/>
          </w:tcPr>
          <w:p w14:paraId="4D5DFB51" w14:textId="77777777" w:rsidR="00BD6C14" w:rsidRDefault="00000000">
            <w:pPr>
              <w:spacing w:after="40"/>
            </w:pPr>
            <w:r>
              <w:rPr>
                <w:b/>
                <w:bCs/>
                <w:color w:val="FFFFFF"/>
                <w:sz w:val="28"/>
                <w:szCs w:val="28"/>
              </w:rPr>
              <w:t>Performance &amp; Risk Analysis</w:t>
            </w:r>
          </w:p>
          <w:p w14:paraId="297F42E5" w14:textId="77777777" w:rsidR="00BD6C14" w:rsidRDefault="00000000">
            <w:r>
              <w:rPr>
                <w:color w:val="8891C4"/>
                <w:sz w:val="14"/>
                <w:szCs w:val="14"/>
              </w:rPr>
              <w:t>Backtested / hypothetical results — common period for all strategies</w:t>
            </w:r>
          </w:p>
        </w:tc>
        <w:tc>
          <w:tcPr>
            <w:tcW w:w="4396" w:type="dxa"/>
            <w:tcBorders>
              <w:top w:val="none" w:sz="0" w:space="0" w:color="FFFFFF"/>
              <w:left w:val="none" w:sz="0" w:space="0" w:color="FFFFFF"/>
              <w:bottom w:val="none" w:sz="0" w:space="0" w:color="FFFFFF"/>
              <w:right w:val="none" w:sz="0" w:space="0" w:color="FFFFFF"/>
            </w:tcBorders>
            <w:shd w:val="clear" w:color="auto" w:fill="14183E"/>
            <w:tcMar>
              <w:top w:w="140" w:type="dxa"/>
              <w:left w:w="100" w:type="dxa"/>
              <w:bottom w:w="140" w:type="dxa"/>
              <w:right w:w="200" w:type="dxa"/>
            </w:tcMar>
            <w:vAlign w:val="center"/>
          </w:tcPr>
          <w:p w14:paraId="12361752" w14:textId="77777777" w:rsidR="00BD6C14" w:rsidRDefault="00000000">
            <w:pPr>
              <w:spacing w:after="40"/>
              <w:jc w:val="right"/>
            </w:pPr>
            <w:r>
              <w:rPr>
                <w:b/>
                <w:bCs/>
                <w:color w:val="6FD6C6"/>
              </w:rPr>
              <w:t>Jun 2021 – Jun 2026</w:t>
            </w:r>
          </w:p>
          <w:p w14:paraId="40296D3F" w14:textId="77777777" w:rsidR="00BD6C14" w:rsidRDefault="00000000">
            <w:pPr>
              <w:jc w:val="right"/>
            </w:pPr>
            <w:r>
              <w:rPr>
                <w:color w:val="8891C4"/>
                <w:sz w:val="13"/>
                <w:szCs w:val="13"/>
              </w:rPr>
              <w:t>Daily log returns · Annualised to 252 trading days</w:t>
            </w:r>
          </w:p>
        </w:tc>
      </w:tr>
    </w:tbl>
    <w:p w14:paraId="0834DFA7" w14:textId="77777777" w:rsidR="00BD6C14" w:rsidRPr="00C64B61" w:rsidRDefault="00000000">
      <w:pPr>
        <w:spacing w:before="140" w:after="70"/>
        <w:rPr>
          <w:sz w:val="22"/>
          <w:szCs w:val="22"/>
        </w:rPr>
      </w:pPr>
      <w:r w:rsidRPr="00C64B61">
        <w:rPr>
          <w:b/>
          <w:bCs/>
          <w:color w:val="2FBF9F"/>
          <w:spacing w:val="25"/>
        </w:rPr>
        <w:t>OVERALL BACKTESTED PERFORMANCE</w:t>
      </w: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663"/>
        <w:gridCol w:w="1726"/>
        <w:gridCol w:w="1726"/>
        <w:gridCol w:w="1726"/>
        <w:gridCol w:w="1625"/>
      </w:tblGrid>
      <w:tr w:rsidR="00BD6C14" w:rsidRPr="00040336" w14:paraId="2D56B8AD" w14:textId="77777777">
        <w:tc>
          <w:tcPr>
            <w:tcW w:w="3663" w:type="dxa"/>
            <w:tcBorders>
              <w:top w:val="none" w:sz="0" w:space="0" w:color="FFFFFF"/>
              <w:left w:val="none" w:sz="0" w:space="0" w:color="FFFFFF"/>
              <w:bottom w:val="none" w:sz="0" w:space="0" w:color="FFFFFF"/>
              <w:right w:val="none" w:sz="0" w:space="0" w:color="FFFFFF"/>
            </w:tcBorders>
            <w:shd w:val="clear" w:color="auto" w:fill="14183E"/>
            <w:tcMar>
              <w:top w:w="80" w:type="dxa"/>
              <w:left w:w="100" w:type="dxa"/>
              <w:bottom w:w="80" w:type="dxa"/>
              <w:right w:w="100" w:type="dxa"/>
            </w:tcMar>
          </w:tcPr>
          <w:p w14:paraId="6F74CDB3" w14:textId="77777777" w:rsidR="00BD6C14" w:rsidRPr="00040336" w:rsidRDefault="00000000">
            <w:r w:rsidRPr="00040336">
              <w:rPr>
                <w:b/>
                <w:bCs/>
                <w:color w:val="FFFFFF"/>
              </w:rPr>
              <w:t>Strategy</w:t>
            </w:r>
          </w:p>
        </w:tc>
        <w:tc>
          <w:tcPr>
            <w:tcW w:w="1726" w:type="dxa"/>
            <w:tcBorders>
              <w:top w:val="none" w:sz="0" w:space="0" w:color="FFFFFF"/>
              <w:left w:val="none" w:sz="0" w:space="0" w:color="FFFFFF"/>
              <w:bottom w:val="none" w:sz="0" w:space="0" w:color="FFFFFF"/>
              <w:right w:val="none" w:sz="0" w:space="0" w:color="FFFFFF"/>
            </w:tcBorders>
            <w:shd w:val="clear" w:color="auto" w:fill="14183E"/>
            <w:tcMar>
              <w:top w:w="80" w:type="dxa"/>
              <w:left w:w="100" w:type="dxa"/>
              <w:bottom w:w="80" w:type="dxa"/>
              <w:right w:w="100" w:type="dxa"/>
            </w:tcMar>
          </w:tcPr>
          <w:p w14:paraId="6F044988" w14:textId="77777777" w:rsidR="00BD6C14" w:rsidRPr="00040336" w:rsidRDefault="00000000">
            <w:pPr>
              <w:jc w:val="center"/>
            </w:pPr>
            <w:r w:rsidRPr="00040336">
              <w:rPr>
                <w:b/>
                <w:bCs/>
                <w:color w:val="FFFFFF"/>
              </w:rPr>
              <w:t>Total return</w:t>
            </w:r>
          </w:p>
        </w:tc>
        <w:tc>
          <w:tcPr>
            <w:tcW w:w="1726" w:type="dxa"/>
            <w:tcBorders>
              <w:top w:val="none" w:sz="0" w:space="0" w:color="FFFFFF"/>
              <w:left w:val="none" w:sz="0" w:space="0" w:color="FFFFFF"/>
              <w:bottom w:val="none" w:sz="0" w:space="0" w:color="FFFFFF"/>
              <w:right w:val="none" w:sz="0" w:space="0" w:color="FFFFFF"/>
            </w:tcBorders>
            <w:shd w:val="clear" w:color="auto" w:fill="14183E"/>
            <w:tcMar>
              <w:top w:w="80" w:type="dxa"/>
              <w:left w:w="100" w:type="dxa"/>
              <w:bottom w:w="80" w:type="dxa"/>
              <w:right w:w="100" w:type="dxa"/>
            </w:tcMar>
          </w:tcPr>
          <w:p w14:paraId="1285C9D7" w14:textId="77777777" w:rsidR="00BD6C14" w:rsidRPr="00040336" w:rsidRDefault="00000000">
            <w:pPr>
              <w:jc w:val="center"/>
            </w:pPr>
            <w:r w:rsidRPr="00040336">
              <w:rPr>
                <w:b/>
                <w:bCs/>
                <w:color w:val="FFFFFF"/>
              </w:rPr>
              <w:t>Ann. return</w:t>
            </w:r>
          </w:p>
        </w:tc>
        <w:tc>
          <w:tcPr>
            <w:tcW w:w="1726" w:type="dxa"/>
            <w:tcBorders>
              <w:top w:val="none" w:sz="0" w:space="0" w:color="FFFFFF"/>
              <w:left w:val="none" w:sz="0" w:space="0" w:color="FFFFFF"/>
              <w:bottom w:val="none" w:sz="0" w:space="0" w:color="FFFFFF"/>
              <w:right w:val="none" w:sz="0" w:space="0" w:color="FFFFFF"/>
            </w:tcBorders>
            <w:shd w:val="clear" w:color="auto" w:fill="14183E"/>
            <w:tcMar>
              <w:top w:w="80" w:type="dxa"/>
              <w:left w:w="100" w:type="dxa"/>
              <w:bottom w:w="80" w:type="dxa"/>
              <w:right w:w="100" w:type="dxa"/>
            </w:tcMar>
          </w:tcPr>
          <w:p w14:paraId="319CF215" w14:textId="77777777" w:rsidR="00BD6C14" w:rsidRPr="00040336" w:rsidRDefault="00000000">
            <w:pPr>
              <w:jc w:val="center"/>
            </w:pPr>
            <w:r w:rsidRPr="00040336">
              <w:rPr>
                <w:b/>
                <w:bCs/>
                <w:color w:val="FFFFFF"/>
              </w:rPr>
              <w:t>Ann. volatility</w:t>
            </w:r>
          </w:p>
        </w:tc>
        <w:tc>
          <w:tcPr>
            <w:tcW w:w="1625" w:type="dxa"/>
            <w:tcBorders>
              <w:top w:val="none" w:sz="0" w:space="0" w:color="FFFFFF"/>
              <w:left w:val="none" w:sz="0" w:space="0" w:color="FFFFFF"/>
              <w:bottom w:val="none" w:sz="0" w:space="0" w:color="FFFFFF"/>
              <w:right w:val="none" w:sz="0" w:space="0" w:color="FFFFFF"/>
            </w:tcBorders>
            <w:shd w:val="clear" w:color="auto" w:fill="14183E"/>
            <w:tcMar>
              <w:top w:w="80" w:type="dxa"/>
              <w:left w:w="100" w:type="dxa"/>
              <w:bottom w:w="80" w:type="dxa"/>
              <w:right w:w="100" w:type="dxa"/>
            </w:tcMar>
          </w:tcPr>
          <w:p w14:paraId="6CFFD336" w14:textId="77777777" w:rsidR="00BD6C14" w:rsidRPr="00040336" w:rsidRDefault="00000000">
            <w:pPr>
              <w:jc w:val="center"/>
            </w:pPr>
            <w:r w:rsidRPr="00040336">
              <w:rPr>
                <w:b/>
                <w:bCs/>
                <w:color w:val="FFFFFF"/>
              </w:rPr>
              <w:t>Max drawdown</w:t>
            </w:r>
          </w:p>
        </w:tc>
      </w:tr>
      <w:tr w:rsidR="00BD6C14" w:rsidRPr="00040336" w14:paraId="6B36C0BC" w14:textId="77777777">
        <w:tc>
          <w:tcPr>
            <w:tcW w:w="3663" w:type="dxa"/>
            <w:tcBorders>
              <w:top w:val="none" w:sz="0" w:space="0" w:color="FFFFFF"/>
              <w:left w:val="none" w:sz="0" w:space="0" w:color="FFFFFF"/>
              <w:bottom w:val="single" w:sz="6" w:space="0" w:color="2FBF9F"/>
              <w:right w:val="none" w:sz="0" w:space="0" w:color="FFFFFF"/>
            </w:tcBorders>
            <w:shd w:val="clear" w:color="auto" w:fill="EAF4FF"/>
            <w:tcMar>
              <w:top w:w="80" w:type="dxa"/>
              <w:left w:w="100" w:type="dxa"/>
              <w:bottom w:w="80" w:type="dxa"/>
              <w:right w:w="100" w:type="dxa"/>
            </w:tcMar>
          </w:tcPr>
          <w:p w14:paraId="72F79AA3" w14:textId="77777777" w:rsidR="00BD6C14" w:rsidRPr="00040336" w:rsidRDefault="00000000">
            <w:r w:rsidRPr="00040336">
              <w:rPr>
                <w:b/>
                <w:bCs/>
                <w:color w:val="14183E"/>
              </w:rPr>
              <w:t>BX Bitcoin Model</w:t>
            </w:r>
          </w:p>
        </w:tc>
        <w:tc>
          <w:tcPr>
            <w:tcW w:w="1726" w:type="dxa"/>
            <w:tcBorders>
              <w:top w:val="none" w:sz="0" w:space="0" w:color="FFFFFF"/>
              <w:left w:val="none" w:sz="0" w:space="0" w:color="FFFFFF"/>
              <w:bottom w:val="single" w:sz="6" w:space="0" w:color="2FBF9F"/>
              <w:right w:val="none" w:sz="0" w:space="0" w:color="FFFFFF"/>
            </w:tcBorders>
            <w:shd w:val="clear" w:color="auto" w:fill="EAF4FF"/>
            <w:tcMar>
              <w:top w:w="80" w:type="dxa"/>
              <w:left w:w="100" w:type="dxa"/>
              <w:bottom w:w="80" w:type="dxa"/>
              <w:right w:w="100" w:type="dxa"/>
            </w:tcMar>
          </w:tcPr>
          <w:p w14:paraId="1FF45E98" w14:textId="77777777" w:rsidR="00BD6C14" w:rsidRPr="00040336" w:rsidRDefault="00000000">
            <w:pPr>
              <w:jc w:val="center"/>
            </w:pPr>
            <w:r w:rsidRPr="00040336">
              <w:rPr>
                <w:b/>
                <w:bCs/>
                <w:color w:val="085041"/>
              </w:rPr>
              <w:t>160.27%</w:t>
            </w:r>
          </w:p>
        </w:tc>
        <w:tc>
          <w:tcPr>
            <w:tcW w:w="1726" w:type="dxa"/>
            <w:tcBorders>
              <w:top w:val="none" w:sz="0" w:space="0" w:color="FFFFFF"/>
              <w:left w:val="none" w:sz="0" w:space="0" w:color="FFFFFF"/>
              <w:bottom w:val="single" w:sz="6" w:space="0" w:color="2FBF9F"/>
              <w:right w:val="none" w:sz="0" w:space="0" w:color="FFFFFF"/>
            </w:tcBorders>
            <w:shd w:val="clear" w:color="auto" w:fill="EAF4FF"/>
            <w:tcMar>
              <w:top w:w="80" w:type="dxa"/>
              <w:left w:w="100" w:type="dxa"/>
              <w:bottom w:w="80" w:type="dxa"/>
              <w:right w:w="100" w:type="dxa"/>
            </w:tcMar>
          </w:tcPr>
          <w:p w14:paraId="7CDDBEF6" w14:textId="77777777" w:rsidR="00BD6C14" w:rsidRPr="00040336" w:rsidRDefault="00000000">
            <w:pPr>
              <w:jc w:val="center"/>
            </w:pPr>
            <w:r w:rsidRPr="00040336">
              <w:rPr>
                <w:b/>
                <w:bCs/>
                <w:color w:val="085041"/>
              </w:rPr>
              <w:t>21.27%</w:t>
            </w:r>
          </w:p>
        </w:tc>
        <w:tc>
          <w:tcPr>
            <w:tcW w:w="1726" w:type="dxa"/>
            <w:tcBorders>
              <w:top w:val="none" w:sz="0" w:space="0" w:color="FFFFFF"/>
              <w:left w:val="none" w:sz="0" w:space="0" w:color="FFFFFF"/>
              <w:bottom w:val="single" w:sz="6" w:space="0" w:color="2FBF9F"/>
              <w:right w:val="none" w:sz="0" w:space="0" w:color="FFFFFF"/>
            </w:tcBorders>
            <w:shd w:val="clear" w:color="auto" w:fill="EAF4FF"/>
            <w:tcMar>
              <w:top w:w="80" w:type="dxa"/>
              <w:left w:w="100" w:type="dxa"/>
              <w:bottom w:w="80" w:type="dxa"/>
              <w:right w:w="100" w:type="dxa"/>
            </w:tcMar>
          </w:tcPr>
          <w:p w14:paraId="61F3EA16" w14:textId="77777777" w:rsidR="00BD6C14" w:rsidRPr="00040336" w:rsidRDefault="00000000">
            <w:pPr>
              <w:jc w:val="center"/>
            </w:pPr>
            <w:r w:rsidRPr="00040336">
              <w:rPr>
                <w:b/>
                <w:bCs/>
                <w:color w:val="085041"/>
              </w:rPr>
              <w:t>34.62%</w:t>
            </w:r>
          </w:p>
        </w:tc>
        <w:tc>
          <w:tcPr>
            <w:tcW w:w="1625" w:type="dxa"/>
            <w:tcBorders>
              <w:top w:val="none" w:sz="0" w:space="0" w:color="FFFFFF"/>
              <w:left w:val="none" w:sz="0" w:space="0" w:color="FFFFFF"/>
              <w:bottom w:val="single" w:sz="6" w:space="0" w:color="2FBF9F"/>
              <w:right w:val="none" w:sz="0" w:space="0" w:color="FFFFFF"/>
            </w:tcBorders>
            <w:shd w:val="clear" w:color="auto" w:fill="EAF4FF"/>
            <w:tcMar>
              <w:top w:w="80" w:type="dxa"/>
              <w:left w:w="100" w:type="dxa"/>
              <w:bottom w:w="80" w:type="dxa"/>
              <w:right w:w="100" w:type="dxa"/>
            </w:tcMar>
          </w:tcPr>
          <w:p w14:paraId="65683E9C" w14:textId="77777777" w:rsidR="00BD6C14" w:rsidRPr="00040336" w:rsidRDefault="00000000">
            <w:pPr>
              <w:jc w:val="center"/>
            </w:pPr>
            <w:r w:rsidRPr="00040336">
              <w:rPr>
                <w:b/>
                <w:bCs/>
                <w:color w:val="2C325C"/>
              </w:rPr>
              <w:t>-59.63%</w:t>
            </w:r>
          </w:p>
        </w:tc>
      </w:tr>
      <w:tr w:rsidR="00BD6C14" w:rsidRPr="00040336" w14:paraId="00845CE0" w14:textId="77777777">
        <w:tc>
          <w:tcPr>
            <w:tcW w:w="3663" w:type="dxa"/>
            <w:tcBorders>
              <w:top w:val="none" w:sz="0" w:space="0" w:color="FFFFFF"/>
              <w:left w:val="none" w:sz="0" w:space="0" w:color="FFFFFF"/>
              <w:bottom w:val="none" w:sz="0" w:space="0" w:color="FFFFFF"/>
              <w:right w:val="none" w:sz="0" w:space="0" w:color="FFFFFF"/>
            </w:tcBorders>
            <w:shd w:val="clear" w:color="auto" w:fill="F4F6FC"/>
            <w:tcMar>
              <w:top w:w="80" w:type="dxa"/>
              <w:left w:w="100" w:type="dxa"/>
              <w:bottom w:w="80" w:type="dxa"/>
              <w:right w:w="100" w:type="dxa"/>
            </w:tcMar>
          </w:tcPr>
          <w:p w14:paraId="2E8CD2E0" w14:textId="77777777" w:rsidR="00BD6C14" w:rsidRPr="00040336" w:rsidRDefault="00000000">
            <w:r w:rsidRPr="00040336">
              <w:rPr>
                <w:b/>
                <w:bCs/>
                <w:color w:val="2C325C"/>
              </w:rPr>
              <w:t>phaseinvest (PDE)</w:t>
            </w:r>
          </w:p>
        </w:tc>
        <w:tc>
          <w:tcPr>
            <w:tcW w:w="1726" w:type="dxa"/>
            <w:tcBorders>
              <w:top w:val="none" w:sz="0" w:space="0" w:color="FFFFFF"/>
              <w:left w:val="none" w:sz="0" w:space="0" w:color="FFFFFF"/>
              <w:bottom w:val="none" w:sz="0" w:space="0" w:color="FFFFFF"/>
              <w:right w:val="none" w:sz="0" w:space="0" w:color="FFFFFF"/>
            </w:tcBorders>
            <w:shd w:val="clear" w:color="auto" w:fill="F4F6FC"/>
            <w:tcMar>
              <w:top w:w="80" w:type="dxa"/>
              <w:left w:w="100" w:type="dxa"/>
              <w:bottom w:w="80" w:type="dxa"/>
              <w:right w:w="100" w:type="dxa"/>
            </w:tcMar>
          </w:tcPr>
          <w:p w14:paraId="6B82A879" w14:textId="77777777" w:rsidR="00BD6C14" w:rsidRPr="00040336" w:rsidRDefault="00000000">
            <w:pPr>
              <w:jc w:val="center"/>
            </w:pPr>
            <w:r w:rsidRPr="00040336">
              <w:rPr>
                <w:b/>
                <w:bCs/>
                <w:color w:val="2C325C"/>
              </w:rPr>
              <w:t>164.58%</w:t>
            </w:r>
          </w:p>
        </w:tc>
        <w:tc>
          <w:tcPr>
            <w:tcW w:w="1726" w:type="dxa"/>
            <w:tcBorders>
              <w:top w:val="none" w:sz="0" w:space="0" w:color="FFFFFF"/>
              <w:left w:val="none" w:sz="0" w:space="0" w:color="FFFFFF"/>
              <w:bottom w:val="none" w:sz="0" w:space="0" w:color="FFFFFF"/>
              <w:right w:val="none" w:sz="0" w:space="0" w:color="FFFFFF"/>
            </w:tcBorders>
            <w:shd w:val="clear" w:color="auto" w:fill="F4F6FC"/>
            <w:tcMar>
              <w:top w:w="80" w:type="dxa"/>
              <w:left w:w="100" w:type="dxa"/>
              <w:bottom w:w="80" w:type="dxa"/>
              <w:right w:w="100" w:type="dxa"/>
            </w:tcMar>
          </w:tcPr>
          <w:p w14:paraId="0E8626A4" w14:textId="77777777" w:rsidR="00BD6C14" w:rsidRPr="00040336" w:rsidRDefault="00000000">
            <w:pPr>
              <w:jc w:val="center"/>
            </w:pPr>
            <w:r w:rsidRPr="00040336">
              <w:rPr>
                <w:b/>
                <w:bCs/>
                <w:color w:val="2C325C"/>
              </w:rPr>
              <w:t>21.67%</w:t>
            </w:r>
          </w:p>
        </w:tc>
        <w:tc>
          <w:tcPr>
            <w:tcW w:w="1726" w:type="dxa"/>
            <w:tcBorders>
              <w:top w:val="none" w:sz="0" w:space="0" w:color="FFFFFF"/>
              <w:left w:val="none" w:sz="0" w:space="0" w:color="FFFFFF"/>
              <w:bottom w:val="none" w:sz="0" w:space="0" w:color="FFFFFF"/>
              <w:right w:val="none" w:sz="0" w:space="0" w:color="FFFFFF"/>
            </w:tcBorders>
            <w:shd w:val="clear" w:color="auto" w:fill="F4F6FC"/>
            <w:tcMar>
              <w:top w:w="80" w:type="dxa"/>
              <w:left w:w="100" w:type="dxa"/>
              <w:bottom w:w="80" w:type="dxa"/>
              <w:right w:w="100" w:type="dxa"/>
            </w:tcMar>
          </w:tcPr>
          <w:p w14:paraId="4B851EA5" w14:textId="77777777" w:rsidR="00BD6C14" w:rsidRPr="00040336" w:rsidRDefault="00000000">
            <w:pPr>
              <w:jc w:val="center"/>
            </w:pPr>
            <w:r w:rsidRPr="00040336">
              <w:rPr>
                <w:b/>
                <w:bCs/>
                <w:color w:val="2C325C"/>
              </w:rPr>
              <w:t>36.33%</w:t>
            </w:r>
          </w:p>
        </w:tc>
        <w:tc>
          <w:tcPr>
            <w:tcW w:w="1625" w:type="dxa"/>
            <w:tcBorders>
              <w:top w:val="none" w:sz="0" w:space="0" w:color="FFFFFF"/>
              <w:left w:val="none" w:sz="0" w:space="0" w:color="FFFFFF"/>
              <w:bottom w:val="none" w:sz="0" w:space="0" w:color="FFFFFF"/>
              <w:right w:val="none" w:sz="0" w:space="0" w:color="FFFFFF"/>
            </w:tcBorders>
            <w:shd w:val="clear" w:color="auto" w:fill="F4F6FC"/>
            <w:tcMar>
              <w:top w:w="80" w:type="dxa"/>
              <w:left w:w="100" w:type="dxa"/>
              <w:bottom w:w="80" w:type="dxa"/>
              <w:right w:w="100" w:type="dxa"/>
            </w:tcMar>
          </w:tcPr>
          <w:p w14:paraId="4CF57B34" w14:textId="77777777" w:rsidR="00BD6C14" w:rsidRPr="00040336" w:rsidRDefault="00000000">
            <w:pPr>
              <w:jc w:val="center"/>
            </w:pPr>
            <w:r w:rsidRPr="00040336">
              <w:rPr>
                <w:b/>
                <w:bCs/>
                <w:color w:val="2C325C"/>
              </w:rPr>
              <w:t>-56.04%</w:t>
            </w:r>
          </w:p>
        </w:tc>
      </w:tr>
      <w:tr w:rsidR="00BD6C14" w:rsidRPr="00040336" w14:paraId="680647C7" w14:textId="77777777">
        <w:tc>
          <w:tcPr>
            <w:tcW w:w="3663" w:type="dxa"/>
            <w:tcBorders>
              <w:top w:val="none" w:sz="0" w:space="0" w:color="FFFFFF"/>
              <w:left w:val="none" w:sz="0" w:space="0" w:color="FFFFFF"/>
              <w:bottom w:val="none" w:sz="0" w:space="0" w:color="FFFFFF"/>
              <w:right w:val="none" w:sz="0" w:space="0" w:color="FFFFFF"/>
            </w:tcBorders>
            <w:shd w:val="clear" w:color="auto" w:fill="FFFFFF"/>
            <w:tcMar>
              <w:top w:w="80" w:type="dxa"/>
              <w:left w:w="100" w:type="dxa"/>
              <w:bottom w:w="80" w:type="dxa"/>
              <w:right w:w="100" w:type="dxa"/>
            </w:tcMar>
          </w:tcPr>
          <w:p w14:paraId="70EBAED3" w14:textId="77777777" w:rsidR="00BD6C14" w:rsidRPr="00040336" w:rsidRDefault="00000000">
            <w:r w:rsidRPr="00040336">
              <w:rPr>
                <w:b/>
                <w:bCs/>
                <w:color w:val="2C325C"/>
              </w:rPr>
              <w:t>Dynalogic (IBIT rules-based)</w:t>
            </w:r>
          </w:p>
        </w:tc>
        <w:tc>
          <w:tcPr>
            <w:tcW w:w="1726" w:type="dxa"/>
            <w:tcBorders>
              <w:top w:val="none" w:sz="0" w:space="0" w:color="FFFFFF"/>
              <w:left w:val="none" w:sz="0" w:space="0" w:color="FFFFFF"/>
              <w:bottom w:val="none" w:sz="0" w:space="0" w:color="FFFFFF"/>
              <w:right w:val="none" w:sz="0" w:space="0" w:color="FFFFFF"/>
            </w:tcBorders>
            <w:shd w:val="clear" w:color="auto" w:fill="FFFFFF"/>
            <w:tcMar>
              <w:top w:w="80" w:type="dxa"/>
              <w:left w:w="100" w:type="dxa"/>
              <w:bottom w:w="80" w:type="dxa"/>
              <w:right w:w="100" w:type="dxa"/>
            </w:tcMar>
          </w:tcPr>
          <w:p w14:paraId="1C9ED05D" w14:textId="77777777" w:rsidR="00BD6C14" w:rsidRPr="00040336" w:rsidRDefault="00000000">
            <w:pPr>
              <w:jc w:val="center"/>
            </w:pPr>
            <w:r w:rsidRPr="00040336">
              <w:rPr>
                <w:b/>
                <w:bCs/>
                <w:color w:val="2C325C"/>
              </w:rPr>
              <w:t>134.27%</w:t>
            </w:r>
          </w:p>
        </w:tc>
        <w:tc>
          <w:tcPr>
            <w:tcW w:w="1726" w:type="dxa"/>
            <w:tcBorders>
              <w:top w:val="none" w:sz="0" w:space="0" w:color="FFFFFF"/>
              <w:left w:val="none" w:sz="0" w:space="0" w:color="FFFFFF"/>
              <w:bottom w:val="none" w:sz="0" w:space="0" w:color="FFFFFF"/>
              <w:right w:val="none" w:sz="0" w:space="0" w:color="FFFFFF"/>
            </w:tcBorders>
            <w:shd w:val="clear" w:color="auto" w:fill="FFFFFF"/>
            <w:tcMar>
              <w:top w:w="80" w:type="dxa"/>
              <w:left w:w="100" w:type="dxa"/>
              <w:bottom w:w="80" w:type="dxa"/>
              <w:right w:w="100" w:type="dxa"/>
            </w:tcMar>
          </w:tcPr>
          <w:p w14:paraId="13AC3A9B" w14:textId="77777777" w:rsidR="00BD6C14" w:rsidRPr="00040336" w:rsidRDefault="00000000">
            <w:pPr>
              <w:jc w:val="center"/>
            </w:pPr>
            <w:r w:rsidRPr="00040336">
              <w:rPr>
                <w:b/>
                <w:bCs/>
                <w:color w:val="2C325C"/>
              </w:rPr>
              <w:t>18.72%</w:t>
            </w:r>
          </w:p>
        </w:tc>
        <w:tc>
          <w:tcPr>
            <w:tcW w:w="1726" w:type="dxa"/>
            <w:tcBorders>
              <w:top w:val="none" w:sz="0" w:space="0" w:color="FFFFFF"/>
              <w:left w:val="none" w:sz="0" w:space="0" w:color="FFFFFF"/>
              <w:bottom w:val="none" w:sz="0" w:space="0" w:color="FFFFFF"/>
              <w:right w:val="none" w:sz="0" w:space="0" w:color="FFFFFF"/>
            </w:tcBorders>
            <w:shd w:val="clear" w:color="auto" w:fill="FFFFFF"/>
            <w:tcMar>
              <w:top w:w="80" w:type="dxa"/>
              <w:left w:w="100" w:type="dxa"/>
              <w:bottom w:w="80" w:type="dxa"/>
              <w:right w:w="100" w:type="dxa"/>
            </w:tcMar>
          </w:tcPr>
          <w:p w14:paraId="51511656" w14:textId="77777777" w:rsidR="00BD6C14" w:rsidRPr="00040336" w:rsidRDefault="00000000">
            <w:pPr>
              <w:jc w:val="center"/>
            </w:pPr>
            <w:r w:rsidRPr="00040336">
              <w:rPr>
                <w:b/>
                <w:bCs/>
                <w:color w:val="2C325C"/>
              </w:rPr>
              <w:t>38.05%</w:t>
            </w:r>
          </w:p>
        </w:tc>
        <w:tc>
          <w:tcPr>
            <w:tcW w:w="1625" w:type="dxa"/>
            <w:tcBorders>
              <w:top w:val="none" w:sz="0" w:space="0" w:color="FFFFFF"/>
              <w:left w:val="none" w:sz="0" w:space="0" w:color="FFFFFF"/>
              <w:bottom w:val="none" w:sz="0" w:space="0" w:color="FFFFFF"/>
              <w:right w:val="none" w:sz="0" w:space="0" w:color="FFFFFF"/>
            </w:tcBorders>
            <w:shd w:val="clear" w:color="auto" w:fill="FFFFFF"/>
            <w:tcMar>
              <w:top w:w="80" w:type="dxa"/>
              <w:left w:w="100" w:type="dxa"/>
              <w:bottom w:w="80" w:type="dxa"/>
              <w:right w:w="100" w:type="dxa"/>
            </w:tcMar>
          </w:tcPr>
          <w:p w14:paraId="2ED2CCC4" w14:textId="77777777" w:rsidR="00BD6C14" w:rsidRPr="00040336" w:rsidRDefault="00000000">
            <w:pPr>
              <w:jc w:val="center"/>
            </w:pPr>
            <w:r w:rsidRPr="00040336">
              <w:rPr>
                <w:b/>
                <w:bCs/>
                <w:color w:val="2C325C"/>
              </w:rPr>
              <w:t>-64.92%</w:t>
            </w:r>
          </w:p>
        </w:tc>
      </w:tr>
      <w:tr w:rsidR="00BD6C14" w:rsidRPr="00040336" w14:paraId="52E86AFB" w14:textId="77777777">
        <w:tc>
          <w:tcPr>
            <w:tcW w:w="3663" w:type="dxa"/>
            <w:tcBorders>
              <w:top w:val="none" w:sz="0" w:space="0" w:color="FFFFFF"/>
              <w:left w:val="none" w:sz="0" w:space="0" w:color="FFFFFF"/>
              <w:bottom w:val="none" w:sz="0" w:space="0" w:color="FFFFFF"/>
              <w:right w:val="none" w:sz="0" w:space="0" w:color="FFFFFF"/>
            </w:tcBorders>
            <w:shd w:val="clear" w:color="auto" w:fill="F4F6FC"/>
            <w:tcMar>
              <w:top w:w="80" w:type="dxa"/>
              <w:left w:w="100" w:type="dxa"/>
              <w:bottom w:w="80" w:type="dxa"/>
              <w:right w:w="100" w:type="dxa"/>
            </w:tcMar>
          </w:tcPr>
          <w:p w14:paraId="53FC8F8F" w14:textId="77777777" w:rsidR="00BD6C14" w:rsidRPr="00040336" w:rsidRDefault="00000000">
            <w:r w:rsidRPr="00040336">
              <w:rPr>
                <w:i/>
                <w:iCs/>
                <w:color w:val="666F9E"/>
              </w:rPr>
              <w:t>Bitcoin (buy &amp; hold)</w:t>
            </w:r>
          </w:p>
        </w:tc>
        <w:tc>
          <w:tcPr>
            <w:tcW w:w="1726" w:type="dxa"/>
            <w:tcBorders>
              <w:top w:val="none" w:sz="0" w:space="0" w:color="FFFFFF"/>
              <w:left w:val="none" w:sz="0" w:space="0" w:color="FFFFFF"/>
              <w:bottom w:val="none" w:sz="0" w:space="0" w:color="FFFFFF"/>
              <w:right w:val="none" w:sz="0" w:space="0" w:color="FFFFFF"/>
            </w:tcBorders>
            <w:shd w:val="clear" w:color="auto" w:fill="F4F6FC"/>
            <w:tcMar>
              <w:top w:w="80" w:type="dxa"/>
              <w:left w:w="100" w:type="dxa"/>
              <w:bottom w:w="80" w:type="dxa"/>
              <w:right w:w="100" w:type="dxa"/>
            </w:tcMar>
          </w:tcPr>
          <w:p w14:paraId="1B1C3ADE" w14:textId="77777777" w:rsidR="00BD6C14" w:rsidRPr="00040336" w:rsidRDefault="00000000">
            <w:pPr>
              <w:jc w:val="center"/>
            </w:pPr>
            <w:r w:rsidRPr="00040336">
              <w:rPr>
                <w:color w:val="A32D2D"/>
              </w:rPr>
              <w:t>89.27%</w:t>
            </w:r>
          </w:p>
        </w:tc>
        <w:tc>
          <w:tcPr>
            <w:tcW w:w="1726" w:type="dxa"/>
            <w:tcBorders>
              <w:top w:val="none" w:sz="0" w:space="0" w:color="FFFFFF"/>
              <w:left w:val="none" w:sz="0" w:space="0" w:color="FFFFFF"/>
              <w:bottom w:val="none" w:sz="0" w:space="0" w:color="FFFFFF"/>
              <w:right w:val="none" w:sz="0" w:space="0" w:color="FFFFFF"/>
            </w:tcBorders>
            <w:shd w:val="clear" w:color="auto" w:fill="F4F6FC"/>
            <w:tcMar>
              <w:top w:w="80" w:type="dxa"/>
              <w:left w:w="100" w:type="dxa"/>
              <w:bottom w:w="80" w:type="dxa"/>
              <w:right w:w="100" w:type="dxa"/>
            </w:tcMar>
          </w:tcPr>
          <w:p w14:paraId="250B08ED" w14:textId="77777777" w:rsidR="00BD6C14" w:rsidRPr="00040336" w:rsidRDefault="00000000">
            <w:pPr>
              <w:jc w:val="center"/>
            </w:pPr>
            <w:r w:rsidRPr="00040336">
              <w:rPr>
                <w:color w:val="A32D2D"/>
              </w:rPr>
              <w:t>13.73%</w:t>
            </w:r>
          </w:p>
        </w:tc>
        <w:tc>
          <w:tcPr>
            <w:tcW w:w="1726" w:type="dxa"/>
            <w:tcBorders>
              <w:top w:val="none" w:sz="0" w:space="0" w:color="FFFFFF"/>
              <w:left w:val="none" w:sz="0" w:space="0" w:color="FFFFFF"/>
              <w:bottom w:val="none" w:sz="0" w:space="0" w:color="FFFFFF"/>
              <w:right w:val="none" w:sz="0" w:space="0" w:color="FFFFFF"/>
            </w:tcBorders>
            <w:shd w:val="clear" w:color="auto" w:fill="F4F6FC"/>
            <w:tcMar>
              <w:top w:w="80" w:type="dxa"/>
              <w:left w:w="100" w:type="dxa"/>
              <w:bottom w:w="80" w:type="dxa"/>
              <w:right w:w="100" w:type="dxa"/>
            </w:tcMar>
          </w:tcPr>
          <w:p w14:paraId="3362415E" w14:textId="77777777" w:rsidR="00BD6C14" w:rsidRPr="00040336" w:rsidRDefault="00000000">
            <w:pPr>
              <w:jc w:val="center"/>
            </w:pPr>
            <w:r w:rsidRPr="00040336">
              <w:rPr>
                <w:color w:val="A32D2D"/>
              </w:rPr>
              <w:t>53.63%</w:t>
            </w:r>
          </w:p>
        </w:tc>
        <w:tc>
          <w:tcPr>
            <w:tcW w:w="1625" w:type="dxa"/>
            <w:tcBorders>
              <w:top w:val="none" w:sz="0" w:space="0" w:color="FFFFFF"/>
              <w:left w:val="none" w:sz="0" w:space="0" w:color="FFFFFF"/>
              <w:bottom w:val="none" w:sz="0" w:space="0" w:color="FFFFFF"/>
              <w:right w:val="none" w:sz="0" w:space="0" w:color="FFFFFF"/>
            </w:tcBorders>
            <w:shd w:val="clear" w:color="auto" w:fill="F4F6FC"/>
            <w:tcMar>
              <w:top w:w="80" w:type="dxa"/>
              <w:left w:w="100" w:type="dxa"/>
              <w:bottom w:w="80" w:type="dxa"/>
              <w:right w:w="100" w:type="dxa"/>
            </w:tcMar>
          </w:tcPr>
          <w:p w14:paraId="5B7281BF" w14:textId="77777777" w:rsidR="00BD6C14" w:rsidRPr="00040336" w:rsidRDefault="00000000">
            <w:pPr>
              <w:jc w:val="center"/>
            </w:pPr>
            <w:r w:rsidRPr="00040336">
              <w:rPr>
                <w:color w:val="A32D2D"/>
              </w:rPr>
              <w:t>-76.63%</w:t>
            </w:r>
          </w:p>
        </w:tc>
      </w:tr>
    </w:tbl>
    <w:p w14:paraId="395CFCEB" w14:textId="77777777" w:rsidR="00BD6C14" w:rsidRPr="00C64B61" w:rsidRDefault="00000000">
      <w:pPr>
        <w:spacing w:before="140" w:after="70"/>
        <w:rPr>
          <w:sz w:val="22"/>
          <w:szCs w:val="22"/>
        </w:rPr>
      </w:pPr>
      <w:r w:rsidRPr="00C64B61">
        <w:rPr>
          <w:b/>
          <w:bCs/>
          <w:color w:val="2FBF9F"/>
          <w:spacing w:val="25"/>
        </w:rPr>
        <w:t>CALENDAR YEAR PERFORMANCE — BX MODEL VS. BITCOIN (BUY &amp; HOLD)</w:t>
      </w: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744"/>
        <w:gridCol w:w="1744"/>
        <w:gridCol w:w="1744"/>
        <w:gridCol w:w="1744"/>
        <w:gridCol w:w="1671"/>
        <w:gridCol w:w="1819"/>
      </w:tblGrid>
      <w:tr w:rsidR="00BD6C14" w:rsidRPr="00040336" w14:paraId="779894E5" w14:textId="77777777" w:rsidTr="00FB610F">
        <w:tc>
          <w:tcPr>
            <w:tcW w:w="1744" w:type="dxa"/>
            <w:tcBorders>
              <w:top w:val="none" w:sz="0" w:space="0" w:color="FFFFFF"/>
              <w:left w:val="none" w:sz="0" w:space="0" w:color="FFFFFF"/>
              <w:bottom w:val="single" w:sz="8" w:space="0" w:color="2FBF9F"/>
              <w:right w:val="single" w:sz="4" w:space="0" w:color="FFFFFF"/>
            </w:tcBorders>
            <w:shd w:val="clear" w:color="auto" w:fill="0A5A40"/>
            <w:tcMar>
              <w:top w:w="50" w:type="dxa"/>
              <w:left w:w="60" w:type="dxa"/>
              <w:bottom w:w="50" w:type="dxa"/>
              <w:right w:w="40" w:type="dxa"/>
            </w:tcMar>
          </w:tcPr>
          <w:p w14:paraId="3F5FA620" w14:textId="77777777" w:rsidR="00BD6C14" w:rsidRPr="00C64B61" w:rsidRDefault="00000000">
            <w:r w:rsidRPr="00C64B61">
              <w:rPr>
                <w:b/>
                <w:bCs/>
                <w:color w:val="FFFFFF"/>
              </w:rPr>
              <w:t>2021 (partial)</w:t>
            </w:r>
          </w:p>
        </w:tc>
        <w:tc>
          <w:tcPr>
            <w:tcW w:w="1744" w:type="dxa"/>
            <w:tcBorders>
              <w:top w:val="none" w:sz="0" w:space="0" w:color="FFFFFF"/>
              <w:left w:val="none" w:sz="0" w:space="0" w:color="FFFFFF"/>
              <w:bottom w:val="single" w:sz="8" w:space="0" w:color="C0503F"/>
              <w:right w:val="single" w:sz="4" w:space="0" w:color="FFFFFF"/>
            </w:tcBorders>
            <w:shd w:val="clear" w:color="auto" w:fill="7A2020"/>
            <w:tcMar>
              <w:top w:w="50" w:type="dxa"/>
              <w:left w:w="60" w:type="dxa"/>
              <w:bottom w:w="50" w:type="dxa"/>
              <w:right w:w="40" w:type="dxa"/>
            </w:tcMar>
          </w:tcPr>
          <w:p w14:paraId="537502E6" w14:textId="77777777" w:rsidR="00BD6C14" w:rsidRPr="00C64B61" w:rsidRDefault="00000000">
            <w:r w:rsidRPr="00C64B61">
              <w:rPr>
                <w:b/>
                <w:bCs/>
                <w:color w:val="FFFFFF"/>
              </w:rPr>
              <w:t>2022 — Bear</w:t>
            </w:r>
          </w:p>
        </w:tc>
        <w:tc>
          <w:tcPr>
            <w:tcW w:w="1744" w:type="dxa"/>
            <w:tcBorders>
              <w:top w:val="none" w:sz="0" w:space="0" w:color="FFFFFF"/>
              <w:left w:val="none" w:sz="0" w:space="0" w:color="FFFFFF"/>
              <w:bottom w:val="single" w:sz="8" w:space="0" w:color="2FBF9F"/>
              <w:right w:val="single" w:sz="4" w:space="0" w:color="FFFFFF"/>
            </w:tcBorders>
            <w:shd w:val="clear" w:color="auto" w:fill="0A5A40"/>
            <w:tcMar>
              <w:top w:w="50" w:type="dxa"/>
              <w:left w:w="60" w:type="dxa"/>
              <w:bottom w:w="50" w:type="dxa"/>
              <w:right w:w="40" w:type="dxa"/>
            </w:tcMar>
          </w:tcPr>
          <w:p w14:paraId="4AFD1343" w14:textId="77777777" w:rsidR="00BD6C14" w:rsidRPr="00C64B61" w:rsidRDefault="00000000">
            <w:r w:rsidRPr="00C64B61">
              <w:rPr>
                <w:b/>
                <w:bCs/>
                <w:color w:val="FFFFFF"/>
              </w:rPr>
              <w:t>2023 — Recovery</w:t>
            </w:r>
          </w:p>
        </w:tc>
        <w:tc>
          <w:tcPr>
            <w:tcW w:w="1744" w:type="dxa"/>
            <w:tcBorders>
              <w:top w:val="none" w:sz="0" w:space="0" w:color="FFFFFF"/>
              <w:left w:val="none" w:sz="0" w:space="0" w:color="FFFFFF"/>
              <w:bottom w:val="single" w:sz="8" w:space="0" w:color="2FBF9F"/>
              <w:right w:val="single" w:sz="4" w:space="0" w:color="FFFFFF"/>
            </w:tcBorders>
            <w:shd w:val="clear" w:color="auto" w:fill="0A5A40"/>
            <w:tcMar>
              <w:top w:w="50" w:type="dxa"/>
              <w:left w:w="60" w:type="dxa"/>
              <w:bottom w:w="50" w:type="dxa"/>
              <w:right w:w="40" w:type="dxa"/>
            </w:tcMar>
          </w:tcPr>
          <w:p w14:paraId="69D8C5C8" w14:textId="77777777" w:rsidR="00BD6C14" w:rsidRPr="00C64B61" w:rsidRDefault="00000000">
            <w:r w:rsidRPr="00C64B61">
              <w:rPr>
                <w:b/>
                <w:bCs/>
                <w:color w:val="FFFFFF"/>
              </w:rPr>
              <w:t>2024 — Bull run</w:t>
            </w:r>
          </w:p>
        </w:tc>
        <w:tc>
          <w:tcPr>
            <w:tcW w:w="1671" w:type="dxa"/>
            <w:tcBorders>
              <w:top w:val="none" w:sz="0" w:space="0" w:color="FFFFFF"/>
              <w:left w:val="none" w:sz="0" w:space="0" w:color="FFFFFF"/>
              <w:bottom w:val="single" w:sz="8" w:space="0" w:color="C0503F"/>
              <w:right w:val="single" w:sz="4" w:space="0" w:color="FFFFFF"/>
            </w:tcBorders>
            <w:shd w:val="clear" w:color="auto" w:fill="7A2020"/>
            <w:tcMar>
              <w:top w:w="50" w:type="dxa"/>
              <w:left w:w="60" w:type="dxa"/>
              <w:bottom w:w="50" w:type="dxa"/>
              <w:right w:w="40" w:type="dxa"/>
            </w:tcMar>
          </w:tcPr>
          <w:p w14:paraId="3C287EB2" w14:textId="77777777" w:rsidR="00BD6C14" w:rsidRPr="00C64B61" w:rsidRDefault="00000000">
            <w:r w:rsidRPr="00C64B61">
              <w:rPr>
                <w:b/>
                <w:bCs/>
                <w:color w:val="FFFFFF"/>
              </w:rPr>
              <w:t>2025</w:t>
            </w:r>
          </w:p>
        </w:tc>
        <w:tc>
          <w:tcPr>
            <w:tcW w:w="1819" w:type="dxa"/>
            <w:tcBorders>
              <w:top w:val="none" w:sz="0" w:space="0" w:color="FFFFFF"/>
              <w:left w:val="none" w:sz="0" w:space="0" w:color="FFFFFF"/>
              <w:bottom w:val="single" w:sz="8" w:space="0" w:color="C0503F"/>
              <w:right w:val="none" w:sz="0" w:space="0" w:color="FFFFFF"/>
            </w:tcBorders>
            <w:shd w:val="clear" w:color="auto" w:fill="7A2020"/>
            <w:tcMar>
              <w:top w:w="50" w:type="dxa"/>
              <w:left w:w="60" w:type="dxa"/>
              <w:bottom w:w="50" w:type="dxa"/>
              <w:right w:w="40" w:type="dxa"/>
            </w:tcMar>
          </w:tcPr>
          <w:p w14:paraId="789141DC" w14:textId="77777777" w:rsidR="00BD6C14" w:rsidRPr="00C64B61" w:rsidRDefault="00000000">
            <w:r w:rsidRPr="00C64B61">
              <w:rPr>
                <w:b/>
                <w:bCs/>
                <w:color w:val="FFFFFF"/>
              </w:rPr>
              <w:t>2026 (partial)</w:t>
            </w:r>
          </w:p>
        </w:tc>
      </w:tr>
      <w:tr w:rsidR="00BD6C14" w:rsidRPr="00040336" w14:paraId="7B55F346" w14:textId="77777777" w:rsidTr="00FB610F">
        <w:tc>
          <w:tcPr>
            <w:tcW w:w="1744" w:type="dxa"/>
            <w:tcBorders>
              <w:top w:val="none" w:sz="0" w:space="0" w:color="FFFFFF"/>
              <w:left w:val="none" w:sz="0" w:space="0" w:color="FFFFFF"/>
              <w:bottom w:val="none" w:sz="0" w:space="0" w:color="FFFFFF"/>
              <w:right w:val="single" w:sz="4" w:space="0" w:color="FFFFFF"/>
            </w:tcBorders>
            <w:shd w:val="clear" w:color="auto" w:fill="F4F6FC"/>
            <w:tcMar>
              <w:top w:w="60" w:type="dxa"/>
              <w:left w:w="60" w:type="dxa"/>
              <w:bottom w:w="60" w:type="dxa"/>
              <w:right w:w="40" w:type="dxa"/>
            </w:tcMar>
          </w:tcPr>
          <w:p w14:paraId="33951EB0" w14:textId="0D8785C6" w:rsidR="00BD6C14" w:rsidRPr="00C64B61" w:rsidRDefault="00000000">
            <w:pPr>
              <w:spacing w:after="30"/>
            </w:pPr>
            <w:r w:rsidRPr="00C64B61">
              <w:rPr>
                <w:color w:val="666F9E"/>
              </w:rPr>
              <w:t xml:space="preserve">BX  </w:t>
            </w:r>
            <w:r w:rsidR="007C0781">
              <w:rPr>
                <w:color w:val="666F9E"/>
              </w:rPr>
              <w:t xml:space="preserve">       </w:t>
            </w:r>
            <w:r w:rsidRPr="00C64B61">
              <w:rPr>
                <w:b/>
                <w:bCs/>
                <w:color w:val="085041"/>
              </w:rPr>
              <w:t>+39.0%</w:t>
            </w:r>
          </w:p>
          <w:p w14:paraId="7AC70566" w14:textId="7A0F92DD" w:rsidR="00BD6C14" w:rsidRPr="00C64B61" w:rsidRDefault="00000000">
            <w:r w:rsidRPr="00C64B61">
              <w:rPr>
                <w:color w:val="666F9E"/>
              </w:rPr>
              <w:t xml:space="preserve">BTC </w:t>
            </w:r>
            <w:r w:rsidR="007C0781">
              <w:rPr>
                <w:color w:val="666F9E"/>
              </w:rPr>
              <w:t xml:space="preserve">      </w:t>
            </w:r>
            <w:r w:rsidRPr="00C64B61">
              <w:rPr>
                <w:b/>
                <w:bCs/>
                <w:color w:val="085041"/>
              </w:rPr>
              <w:t>+37.9%</w:t>
            </w:r>
          </w:p>
        </w:tc>
        <w:tc>
          <w:tcPr>
            <w:tcW w:w="1744" w:type="dxa"/>
            <w:tcBorders>
              <w:top w:val="none" w:sz="0" w:space="0" w:color="FFFFFF"/>
              <w:left w:val="none" w:sz="0" w:space="0" w:color="FFFFFF"/>
              <w:bottom w:val="none" w:sz="0" w:space="0" w:color="FFFFFF"/>
              <w:right w:val="single" w:sz="4" w:space="0" w:color="FFFFFF"/>
            </w:tcBorders>
            <w:shd w:val="clear" w:color="auto" w:fill="F4F6FC"/>
            <w:tcMar>
              <w:top w:w="60" w:type="dxa"/>
              <w:left w:w="60" w:type="dxa"/>
              <w:bottom w:w="60" w:type="dxa"/>
              <w:right w:w="40" w:type="dxa"/>
            </w:tcMar>
          </w:tcPr>
          <w:p w14:paraId="4027147D" w14:textId="03E248B9" w:rsidR="00BD6C14" w:rsidRPr="00C64B61" w:rsidRDefault="00000000">
            <w:pPr>
              <w:spacing w:after="30"/>
            </w:pPr>
            <w:r w:rsidRPr="00C64B61">
              <w:rPr>
                <w:color w:val="666F9E"/>
              </w:rPr>
              <w:t xml:space="preserve">BX  </w:t>
            </w:r>
            <w:r w:rsidR="007C0781">
              <w:rPr>
                <w:color w:val="666F9E"/>
              </w:rPr>
              <w:t xml:space="preserve">     </w:t>
            </w:r>
            <w:r w:rsidRPr="00C64B61">
              <w:rPr>
                <w:b/>
                <w:bCs/>
                <w:color w:val="A32D2D"/>
              </w:rPr>
              <w:t>-44.6%</w:t>
            </w:r>
          </w:p>
          <w:p w14:paraId="3649D1C2" w14:textId="1FDBD8CC" w:rsidR="00BD6C14" w:rsidRPr="00C64B61" w:rsidRDefault="00000000">
            <w:r w:rsidRPr="00C64B61">
              <w:rPr>
                <w:color w:val="666F9E"/>
              </w:rPr>
              <w:t xml:space="preserve">BTC </w:t>
            </w:r>
            <w:r w:rsidR="007C0781">
              <w:rPr>
                <w:color w:val="666F9E"/>
              </w:rPr>
              <w:t xml:space="preserve">    </w:t>
            </w:r>
            <w:r w:rsidRPr="00C64B61">
              <w:rPr>
                <w:b/>
                <w:bCs/>
                <w:color w:val="A32D2D"/>
              </w:rPr>
              <w:t>-64.3%</w:t>
            </w:r>
          </w:p>
        </w:tc>
        <w:tc>
          <w:tcPr>
            <w:tcW w:w="1744" w:type="dxa"/>
            <w:tcBorders>
              <w:top w:val="none" w:sz="0" w:space="0" w:color="FFFFFF"/>
              <w:left w:val="none" w:sz="0" w:space="0" w:color="FFFFFF"/>
              <w:bottom w:val="none" w:sz="0" w:space="0" w:color="FFFFFF"/>
              <w:right w:val="single" w:sz="4" w:space="0" w:color="FFFFFF"/>
            </w:tcBorders>
            <w:shd w:val="clear" w:color="auto" w:fill="F4F6FC"/>
            <w:tcMar>
              <w:top w:w="60" w:type="dxa"/>
              <w:left w:w="60" w:type="dxa"/>
              <w:bottom w:w="60" w:type="dxa"/>
              <w:right w:w="40" w:type="dxa"/>
            </w:tcMar>
          </w:tcPr>
          <w:p w14:paraId="4900CADB" w14:textId="0D533C8D" w:rsidR="00BD6C14" w:rsidRPr="00C64B61" w:rsidRDefault="00000000">
            <w:pPr>
              <w:spacing w:after="30"/>
            </w:pPr>
            <w:r w:rsidRPr="00C64B61">
              <w:rPr>
                <w:color w:val="666F9E"/>
              </w:rPr>
              <w:t xml:space="preserve">BX  </w:t>
            </w:r>
            <w:r w:rsidR="007C0781">
              <w:rPr>
                <w:color w:val="666F9E"/>
              </w:rPr>
              <w:t xml:space="preserve">     </w:t>
            </w:r>
            <w:r w:rsidRPr="00C64B61">
              <w:rPr>
                <w:b/>
                <w:bCs/>
                <w:color w:val="085041"/>
              </w:rPr>
              <w:t>+122.5%</w:t>
            </w:r>
          </w:p>
          <w:p w14:paraId="3E73030F" w14:textId="75FC3743" w:rsidR="00BD6C14" w:rsidRPr="00C64B61" w:rsidRDefault="00000000">
            <w:r w:rsidRPr="00C64B61">
              <w:rPr>
                <w:color w:val="666F9E"/>
              </w:rPr>
              <w:t xml:space="preserve">BTC </w:t>
            </w:r>
            <w:r w:rsidR="007C0781">
              <w:rPr>
                <w:color w:val="666F9E"/>
              </w:rPr>
              <w:t xml:space="preserve">    </w:t>
            </w:r>
            <w:r w:rsidRPr="00C64B61">
              <w:rPr>
                <w:b/>
                <w:bCs/>
                <w:color w:val="085041"/>
              </w:rPr>
              <w:t>+152.4%</w:t>
            </w:r>
          </w:p>
        </w:tc>
        <w:tc>
          <w:tcPr>
            <w:tcW w:w="1744" w:type="dxa"/>
            <w:tcBorders>
              <w:top w:val="none" w:sz="0" w:space="0" w:color="FFFFFF"/>
              <w:left w:val="none" w:sz="0" w:space="0" w:color="FFFFFF"/>
              <w:bottom w:val="none" w:sz="0" w:space="0" w:color="FFFFFF"/>
              <w:right w:val="single" w:sz="4" w:space="0" w:color="FFFFFF"/>
            </w:tcBorders>
            <w:shd w:val="clear" w:color="auto" w:fill="F4F6FC"/>
            <w:tcMar>
              <w:top w:w="60" w:type="dxa"/>
              <w:left w:w="60" w:type="dxa"/>
              <w:bottom w:w="60" w:type="dxa"/>
              <w:right w:w="40" w:type="dxa"/>
            </w:tcMar>
          </w:tcPr>
          <w:p w14:paraId="5D492592" w14:textId="0FDCBB16" w:rsidR="00BD6C14" w:rsidRPr="00C64B61" w:rsidRDefault="00000000">
            <w:pPr>
              <w:spacing w:after="30"/>
            </w:pPr>
            <w:r w:rsidRPr="00C64B61">
              <w:rPr>
                <w:color w:val="666F9E"/>
              </w:rPr>
              <w:t xml:space="preserve">BX  </w:t>
            </w:r>
            <w:r w:rsidR="007C0781">
              <w:rPr>
                <w:color w:val="666F9E"/>
              </w:rPr>
              <w:t xml:space="preserve">     </w:t>
            </w:r>
            <w:r w:rsidRPr="00C64B61">
              <w:rPr>
                <w:b/>
                <w:bCs/>
                <w:color w:val="085041"/>
              </w:rPr>
              <w:t>+65.5%</w:t>
            </w:r>
          </w:p>
          <w:p w14:paraId="5A334B0C" w14:textId="6E827C64" w:rsidR="00BD6C14" w:rsidRPr="00C64B61" w:rsidRDefault="00000000">
            <w:r w:rsidRPr="00C64B61">
              <w:rPr>
                <w:color w:val="666F9E"/>
              </w:rPr>
              <w:t xml:space="preserve">BTC </w:t>
            </w:r>
            <w:r w:rsidR="007C0781">
              <w:rPr>
                <w:color w:val="666F9E"/>
              </w:rPr>
              <w:t xml:space="preserve">    </w:t>
            </w:r>
            <w:r w:rsidRPr="00C64B61">
              <w:rPr>
                <w:b/>
                <w:bCs/>
                <w:color w:val="085041"/>
              </w:rPr>
              <w:t>+107.8%</w:t>
            </w:r>
          </w:p>
        </w:tc>
        <w:tc>
          <w:tcPr>
            <w:tcW w:w="1671" w:type="dxa"/>
            <w:tcBorders>
              <w:top w:val="none" w:sz="0" w:space="0" w:color="FFFFFF"/>
              <w:left w:val="none" w:sz="0" w:space="0" w:color="FFFFFF"/>
              <w:bottom w:val="none" w:sz="0" w:space="0" w:color="FFFFFF"/>
              <w:right w:val="single" w:sz="4" w:space="0" w:color="FFFFFF"/>
            </w:tcBorders>
            <w:shd w:val="clear" w:color="auto" w:fill="F4F6FC"/>
            <w:tcMar>
              <w:top w:w="60" w:type="dxa"/>
              <w:left w:w="60" w:type="dxa"/>
              <w:bottom w:w="60" w:type="dxa"/>
              <w:right w:w="40" w:type="dxa"/>
            </w:tcMar>
          </w:tcPr>
          <w:p w14:paraId="7CD2F29B" w14:textId="4F36C17B" w:rsidR="00BD6C14" w:rsidRPr="00C64B61" w:rsidRDefault="00000000">
            <w:pPr>
              <w:spacing w:after="30"/>
            </w:pPr>
            <w:r w:rsidRPr="00C64B61">
              <w:rPr>
                <w:color w:val="666F9E"/>
              </w:rPr>
              <w:t xml:space="preserve">BX  </w:t>
            </w:r>
            <w:r w:rsidR="007C0781">
              <w:rPr>
                <w:color w:val="666F9E"/>
              </w:rPr>
              <w:t xml:space="preserve">      </w:t>
            </w:r>
            <w:r w:rsidRPr="00C64B61">
              <w:rPr>
                <w:b/>
                <w:bCs/>
                <w:color w:val="A32D2D"/>
              </w:rPr>
              <w:t>-8.9%</w:t>
            </w:r>
          </w:p>
          <w:p w14:paraId="43B2300D" w14:textId="1A72EDDF" w:rsidR="00BD6C14" w:rsidRPr="00C64B61" w:rsidRDefault="00000000">
            <w:r w:rsidRPr="00C64B61">
              <w:rPr>
                <w:color w:val="666F9E"/>
              </w:rPr>
              <w:t xml:space="preserve">BTC </w:t>
            </w:r>
            <w:r w:rsidR="007C0781">
              <w:rPr>
                <w:color w:val="666F9E"/>
              </w:rPr>
              <w:t xml:space="preserve">     </w:t>
            </w:r>
            <w:r w:rsidRPr="00C64B61">
              <w:rPr>
                <w:b/>
                <w:bCs/>
                <w:color w:val="A32D2D"/>
              </w:rPr>
              <w:t>-9.7%</w:t>
            </w:r>
          </w:p>
        </w:tc>
        <w:tc>
          <w:tcPr>
            <w:tcW w:w="1819" w:type="dxa"/>
            <w:tcBorders>
              <w:top w:val="none" w:sz="0" w:space="0" w:color="FFFFFF"/>
              <w:left w:val="none" w:sz="0" w:space="0" w:color="FFFFFF"/>
              <w:bottom w:val="none" w:sz="0" w:space="0" w:color="FFFFFF"/>
              <w:right w:val="none" w:sz="0" w:space="0" w:color="FFFFFF"/>
            </w:tcBorders>
            <w:shd w:val="clear" w:color="auto" w:fill="F4F6FC"/>
            <w:tcMar>
              <w:top w:w="60" w:type="dxa"/>
              <w:left w:w="60" w:type="dxa"/>
              <w:bottom w:w="60" w:type="dxa"/>
              <w:right w:w="40" w:type="dxa"/>
            </w:tcMar>
          </w:tcPr>
          <w:p w14:paraId="25EA336C" w14:textId="71011CE0" w:rsidR="00BD6C14" w:rsidRPr="00C64B61" w:rsidRDefault="00000000">
            <w:pPr>
              <w:spacing w:after="30"/>
            </w:pPr>
            <w:r w:rsidRPr="00C64B61">
              <w:rPr>
                <w:color w:val="666F9E"/>
              </w:rPr>
              <w:t xml:space="preserve">BX  </w:t>
            </w:r>
            <w:r w:rsidR="007C0781">
              <w:rPr>
                <w:color w:val="666F9E"/>
              </w:rPr>
              <w:t xml:space="preserve">      </w:t>
            </w:r>
            <w:r w:rsidRPr="00C64B61">
              <w:rPr>
                <w:b/>
                <w:bCs/>
                <w:color w:val="A32D2D"/>
              </w:rPr>
              <w:t>-7.7%</w:t>
            </w:r>
          </w:p>
          <w:p w14:paraId="24C381C4" w14:textId="0E78EFDC" w:rsidR="00BD6C14" w:rsidRPr="00C64B61" w:rsidRDefault="00000000">
            <w:r w:rsidRPr="00C64B61">
              <w:rPr>
                <w:color w:val="666F9E"/>
              </w:rPr>
              <w:t xml:space="preserve">BTC </w:t>
            </w:r>
            <w:r w:rsidR="007C0781">
              <w:rPr>
                <w:color w:val="666F9E"/>
              </w:rPr>
              <w:t xml:space="preserve">    </w:t>
            </w:r>
            <w:r w:rsidRPr="00C64B61">
              <w:rPr>
                <w:b/>
                <w:bCs/>
                <w:color w:val="A32D2D"/>
              </w:rPr>
              <w:t>-29.4%</w:t>
            </w:r>
          </w:p>
        </w:tc>
      </w:tr>
    </w:tbl>
    <w:p w14:paraId="2B62B1AD" w14:textId="77777777" w:rsidR="00BD6C14" w:rsidRPr="00C64B61" w:rsidRDefault="00000000">
      <w:pPr>
        <w:spacing w:before="140" w:after="70"/>
        <w:rPr>
          <w:sz w:val="22"/>
          <w:szCs w:val="22"/>
        </w:rPr>
      </w:pPr>
      <w:r w:rsidRPr="00C64B61">
        <w:rPr>
          <w:b/>
          <w:bCs/>
          <w:color w:val="2FBF9F"/>
          <w:spacing w:val="25"/>
        </w:rPr>
        <w:t>HOW THE MODEL BEHAVES ACROSS MARKET CONDITIONS</w:t>
      </w: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83"/>
        <w:gridCol w:w="2825"/>
        <w:gridCol w:w="2825"/>
        <w:gridCol w:w="2933"/>
      </w:tblGrid>
      <w:tr w:rsidR="00BD6C14" w:rsidRPr="00C64B61" w14:paraId="58808663" w14:textId="77777777">
        <w:tc>
          <w:tcPr>
            <w:tcW w:w="1883" w:type="dxa"/>
            <w:tcBorders>
              <w:top w:val="none" w:sz="0" w:space="0" w:color="FFFFFF"/>
              <w:left w:val="none" w:sz="0" w:space="0" w:color="FFFFFF"/>
              <w:bottom w:val="none" w:sz="0" w:space="0" w:color="FFFFFF"/>
              <w:right w:val="none" w:sz="0" w:space="0" w:color="FFFFFF"/>
            </w:tcBorders>
            <w:shd w:val="clear" w:color="auto" w:fill="14183E"/>
            <w:tcMar>
              <w:top w:w="80" w:type="dxa"/>
              <w:left w:w="100" w:type="dxa"/>
              <w:bottom w:w="80" w:type="dxa"/>
              <w:right w:w="100" w:type="dxa"/>
            </w:tcMar>
          </w:tcPr>
          <w:p w14:paraId="04470D66" w14:textId="77777777" w:rsidR="00BD6C14" w:rsidRPr="00C64B61" w:rsidRDefault="00000000">
            <w:r w:rsidRPr="00C64B61">
              <w:rPr>
                <w:b/>
                <w:bCs/>
                <w:color w:val="FFFFFF"/>
              </w:rPr>
              <w:t>Market environment</w:t>
            </w:r>
          </w:p>
        </w:tc>
        <w:tc>
          <w:tcPr>
            <w:tcW w:w="2825" w:type="dxa"/>
            <w:tcBorders>
              <w:top w:val="none" w:sz="0" w:space="0" w:color="FFFFFF"/>
              <w:left w:val="none" w:sz="0" w:space="0" w:color="FFFFFF"/>
              <w:bottom w:val="none" w:sz="0" w:space="0" w:color="FFFFFF"/>
              <w:right w:val="none" w:sz="0" w:space="0" w:color="FFFFFF"/>
            </w:tcBorders>
            <w:shd w:val="clear" w:color="auto" w:fill="14183E"/>
            <w:tcMar>
              <w:top w:w="80" w:type="dxa"/>
              <w:left w:w="100" w:type="dxa"/>
              <w:bottom w:w="80" w:type="dxa"/>
              <w:right w:w="100" w:type="dxa"/>
            </w:tcMar>
          </w:tcPr>
          <w:p w14:paraId="34D9A379" w14:textId="77777777" w:rsidR="00BD6C14" w:rsidRPr="00C64B61" w:rsidRDefault="00000000">
            <w:pPr>
              <w:jc w:val="center"/>
            </w:pPr>
            <w:r w:rsidRPr="00C64B61">
              <w:rPr>
                <w:b/>
                <w:bCs/>
                <w:color w:val="FFFFFF"/>
              </w:rPr>
              <w:t>IBIT rules-based</w:t>
            </w:r>
          </w:p>
        </w:tc>
        <w:tc>
          <w:tcPr>
            <w:tcW w:w="2825" w:type="dxa"/>
            <w:tcBorders>
              <w:top w:val="none" w:sz="0" w:space="0" w:color="FFFFFF"/>
              <w:left w:val="none" w:sz="0" w:space="0" w:color="FFFFFF"/>
              <w:bottom w:val="none" w:sz="0" w:space="0" w:color="FFFFFF"/>
              <w:right w:val="none" w:sz="0" w:space="0" w:color="FFFFFF"/>
            </w:tcBorders>
            <w:shd w:val="clear" w:color="auto" w:fill="14183E"/>
            <w:tcMar>
              <w:top w:w="80" w:type="dxa"/>
              <w:left w:w="100" w:type="dxa"/>
              <w:bottom w:w="80" w:type="dxa"/>
              <w:right w:w="100" w:type="dxa"/>
            </w:tcMar>
          </w:tcPr>
          <w:p w14:paraId="1C613340" w14:textId="77777777" w:rsidR="00BD6C14" w:rsidRPr="00C64B61" w:rsidRDefault="00000000">
            <w:pPr>
              <w:jc w:val="center"/>
            </w:pPr>
            <w:r w:rsidRPr="00C64B61">
              <w:rPr>
                <w:b/>
                <w:bCs/>
                <w:color w:val="FFFFFF"/>
              </w:rPr>
              <w:t>PDE momentum</w:t>
            </w:r>
          </w:p>
        </w:tc>
        <w:tc>
          <w:tcPr>
            <w:tcW w:w="2933" w:type="dxa"/>
            <w:tcBorders>
              <w:top w:val="none" w:sz="0" w:space="0" w:color="FFFFFF"/>
              <w:left w:val="none" w:sz="0" w:space="0" w:color="FFFFFF"/>
              <w:bottom w:val="none" w:sz="0" w:space="0" w:color="FFFFFF"/>
              <w:right w:val="none" w:sz="0" w:space="0" w:color="FFFFFF"/>
            </w:tcBorders>
            <w:shd w:val="clear" w:color="auto" w:fill="14183E"/>
            <w:tcMar>
              <w:top w:w="80" w:type="dxa"/>
              <w:left w:w="100" w:type="dxa"/>
              <w:bottom w:w="80" w:type="dxa"/>
              <w:right w:w="100" w:type="dxa"/>
            </w:tcMar>
          </w:tcPr>
          <w:p w14:paraId="57F7CD01" w14:textId="77777777" w:rsidR="00BD6C14" w:rsidRPr="00C64B61" w:rsidRDefault="00000000">
            <w:pPr>
              <w:jc w:val="center"/>
            </w:pPr>
            <w:r w:rsidRPr="00C64B61">
              <w:rPr>
                <w:b/>
                <w:bCs/>
                <w:color w:val="FFFFFF"/>
              </w:rPr>
              <w:t>Blended model outcome</w:t>
            </w:r>
          </w:p>
        </w:tc>
      </w:tr>
      <w:tr w:rsidR="00BD6C14" w:rsidRPr="00C64B61" w14:paraId="00F459AF" w14:textId="77777777">
        <w:tc>
          <w:tcPr>
            <w:tcW w:w="1883" w:type="dxa"/>
            <w:tcBorders>
              <w:top w:val="none" w:sz="0" w:space="0" w:color="FFFFFF"/>
              <w:left w:val="none" w:sz="0" w:space="0" w:color="FFFFFF"/>
              <w:bottom w:val="none" w:sz="0" w:space="0" w:color="FFFFFF"/>
              <w:right w:val="none" w:sz="0" w:space="0" w:color="FFFFFF"/>
            </w:tcBorders>
            <w:shd w:val="clear" w:color="auto" w:fill="FFFFFF"/>
            <w:tcMar>
              <w:top w:w="80" w:type="dxa"/>
              <w:left w:w="100" w:type="dxa"/>
              <w:bottom w:w="80" w:type="dxa"/>
              <w:right w:w="100" w:type="dxa"/>
            </w:tcMar>
          </w:tcPr>
          <w:p w14:paraId="55B07ACD" w14:textId="77777777" w:rsidR="00BD6C14" w:rsidRPr="00C64B61" w:rsidRDefault="00000000">
            <w:r w:rsidRPr="00C64B61">
              <w:rPr>
                <w:b/>
                <w:bCs/>
                <w:color w:val="14183E"/>
              </w:rPr>
              <w:t>Strong uptrend</w:t>
            </w:r>
          </w:p>
        </w:tc>
        <w:tc>
          <w:tcPr>
            <w:tcW w:w="2825" w:type="dxa"/>
            <w:tcBorders>
              <w:top w:val="none" w:sz="0" w:space="0" w:color="FFFFFF"/>
              <w:left w:val="none" w:sz="0" w:space="0" w:color="FFFFFF"/>
              <w:bottom w:val="none" w:sz="0" w:space="0" w:color="FFFFFF"/>
              <w:right w:val="none" w:sz="0" w:space="0" w:color="FFFFFF"/>
            </w:tcBorders>
            <w:shd w:val="clear" w:color="auto" w:fill="FFFFFF"/>
            <w:tcMar>
              <w:top w:w="80" w:type="dxa"/>
              <w:left w:w="100" w:type="dxa"/>
              <w:bottom w:w="80" w:type="dxa"/>
              <w:right w:w="100" w:type="dxa"/>
            </w:tcMar>
          </w:tcPr>
          <w:p w14:paraId="6E63E775" w14:textId="77777777" w:rsidR="00BD6C14" w:rsidRPr="00C64B61" w:rsidRDefault="00000000">
            <w:pPr>
              <w:jc w:val="center"/>
            </w:pPr>
            <w:r w:rsidRPr="00C64B61">
              <w:rPr>
                <w:color w:val="2C325C"/>
              </w:rPr>
              <w:t>Gradual profit-taking at price tiers; partially captured upside</w:t>
            </w:r>
          </w:p>
        </w:tc>
        <w:tc>
          <w:tcPr>
            <w:tcW w:w="2825" w:type="dxa"/>
            <w:tcBorders>
              <w:top w:val="none" w:sz="0" w:space="0" w:color="FFFFFF"/>
              <w:left w:val="none" w:sz="0" w:space="0" w:color="FFFFFF"/>
              <w:bottom w:val="none" w:sz="0" w:space="0" w:color="FFFFFF"/>
              <w:right w:val="none" w:sz="0" w:space="0" w:color="FFFFFF"/>
            </w:tcBorders>
            <w:shd w:val="clear" w:color="auto" w:fill="FFFFFF"/>
            <w:tcMar>
              <w:top w:w="80" w:type="dxa"/>
              <w:left w:w="100" w:type="dxa"/>
              <w:bottom w:w="80" w:type="dxa"/>
              <w:right w:w="100" w:type="dxa"/>
            </w:tcMar>
          </w:tcPr>
          <w:p w14:paraId="09B35D4E" w14:textId="77777777" w:rsidR="00BD6C14" w:rsidRPr="00C64B61" w:rsidRDefault="00000000">
            <w:pPr>
              <w:jc w:val="center"/>
            </w:pPr>
            <w:r w:rsidRPr="00C64B61">
              <w:rPr>
                <w:color w:val="2C325C"/>
              </w:rPr>
              <w:t>Full exposure; captures the full macro move</w:t>
            </w:r>
          </w:p>
        </w:tc>
        <w:tc>
          <w:tcPr>
            <w:tcW w:w="2933" w:type="dxa"/>
            <w:tcBorders>
              <w:top w:val="none" w:sz="0" w:space="0" w:color="FFFFFF"/>
              <w:left w:val="none" w:sz="0" w:space="0" w:color="FFFFFF"/>
              <w:bottom w:val="none" w:sz="0" w:space="0" w:color="FFFFFF"/>
              <w:right w:val="none" w:sz="0" w:space="0" w:color="FFFFFF"/>
            </w:tcBorders>
            <w:shd w:val="clear" w:color="auto" w:fill="FFFFFF"/>
            <w:tcMar>
              <w:top w:w="80" w:type="dxa"/>
              <w:left w:w="100" w:type="dxa"/>
              <w:bottom w:w="80" w:type="dxa"/>
              <w:right w:w="100" w:type="dxa"/>
            </w:tcMar>
          </w:tcPr>
          <w:p w14:paraId="410F3F18" w14:textId="77777777" w:rsidR="00BD6C14" w:rsidRPr="00C64B61" w:rsidRDefault="00000000">
            <w:pPr>
              <w:jc w:val="center"/>
            </w:pPr>
            <w:r w:rsidRPr="00C64B61">
              <w:rPr>
                <w:b/>
                <w:bCs/>
                <w:color w:val="14183E"/>
              </w:rPr>
              <w:t>Balanced upside with embedded profit-taking</w:t>
            </w:r>
          </w:p>
        </w:tc>
      </w:tr>
      <w:tr w:rsidR="00BD6C14" w:rsidRPr="00C64B61" w14:paraId="1AA3D785" w14:textId="77777777">
        <w:tc>
          <w:tcPr>
            <w:tcW w:w="1883" w:type="dxa"/>
            <w:tcBorders>
              <w:top w:val="none" w:sz="0" w:space="0" w:color="FFFFFF"/>
              <w:left w:val="none" w:sz="0" w:space="0" w:color="FFFFFF"/>
              <w:bottom w:val="none" w:sz="0" w:space="0" w:color="FFFFFF"/>
              <w:right w:val="none" w:sz="0" w:space="0" w:color="FFFFFF"/>
            </w:tcBorders>
            <w:shd w:val="clear" w:color="auto" w:fill="F4F6FC"/>
            <w:tcMar>
              <w:top w:w="80" w:type="dxa"/>
              <w:left w:w="100" w:type="dxa"/>
              <w:bottom w:w="80" w:type="dxa"/>
              <w:right w:w="100" w:type="dxa"/>
            </w:tcMar>
          </w:tcPr>
          <w:p w14:paraId="39213982" w14:textId="77777777" w:rsidR="00BD6C14" w:rsidRPr="00C64B61" w:rsidRDefault="00000000">
            <w:r w:rsidRPr="00C64B61">
              <w:rPr>
                <w:b/>
                <w:bCs/>
                <w:color w:val="14183E"/>
              </w:rPr>
              <w:t>Sharp reversal</w:t>
            </w:r>
          </w:p>
        </w:tc>
        <w:tc>
          <w:tcPr>
            <w:tcW w:w="2825" w:type="dxa"/>
            <w:tcBorders>
              <w:top w:val="none" w:sz="0" w:space="0" w:color="FFFFFF"/>
              <w:left w:val="none" w:sz="0" w:space="0" w:color="FFFFFF"/>
              <w:bottom w:val="none" w:sz="0" w:space="0" w:color="FFFFFF"/>
              <w:right w:val="none" w:sz="0" w:space="0" w:color="FFFFFF"/>
            </w:tcBorders>
            <w:shd w:val="clear" w:color="auto" w:fill="F4F6FC"/>
            <w:tcMar>
              <w:top w:w="80" w:type="dxa"/>
              <w:left w:w="100" w:type="dxa"/>
              <w:bottom w:w="80" w:type="dxa"/>
              <w:right w:w="100" w:type="dxa"/>
            </w:tcMar>
          </w:tcPr>
          <w:p w14:paraId="4AA80D23" w14:textId="77777777" w:rsidR="00BD6C14" w:rsidRPr="00C64B61" w:rsidRDefault="00000000">
            <w:pPr>
              <w:jc w:val="center"/>
            </w:pPr>
            <w:r w:rsidRPr="00C64B61">
              <w:rPr>
                <w:color w:val="2C325C"/>
              </w:rPr>
              <w:t>Cash deployed at stepped re-entry levels; gradual re-entry</w:t>
            </w:r>
          </w:p>
        </w:tc>
        <w:tc>
          <w:tcPr>
            <w:tcW w:w="2825" w:type="dxa"/>
            <w:tcBorders>
              <w:top w:val="none" w:sz="0" w:space="0" w:color="FFFFFF"/>
              <w:left w:val="none" w:sz="0" w:space="0" w:color="FFFFFF"/>
              <w:bottom w:val="none" w:sz="0" w:space="0" w:color="FFFFFF"/>
              <w:right w:val="none" w:sz="0" w:space="0" w:color="FFFFFF"/>
            </w:tcBorders>
            <w:shd w:val="clear" w:color="auto" w:fill="F4F6FC"/>
            <w:tcMar>
              <w:top w:w="80" w:type="dxa"/>
              <w:left w:w="100" w:type="dxa"/>
              <w:bottom w:w="80" w:type="dxa"/>
              <w:right w:w="100" w:type="dxa"/>
            </w:tcMar>
          </w:tcPr>
          <w:p w14:paraId="2C0CE603" w14:textId="77777777" w:rsidR="00BD6C14" w:rsidRPr="00C64B61" w:rsidRDefault="00000000">
            <w:pPr>
              <w:jc w:val="center"/>
            </w:pPr>
            <w:r w:rsidRPr="00C64B61">
              <w:rPr>
                <w:color w:val="2C325C"/>
              </w:rPr>
              <w:t>Rapid exposure reduction on regime change</w:t>
            </w:r>
          </w:p>
        </w:tc>
        <w:tc>
          <w:tcPr>
            <w:tcW w:w="2933" w:type="dxa"/>
            <w:tcBorders>
              <w:top w:val="none" w:sz="0" w:space="0" w:color="FFFFFF"/>
              <w:left w:val="none" w:sz="0" w:space="0" w:color="FFFFFF"/>
              <w:bottom w:val="none" w:sz="0" w:space="0" w:color="FFFFFF"/>
              <w:right w:val="none" w:sz="0" w:space="0" w:color="FFFFFF"/>
            </w:tcBorders>
            <w:shd w:val="clear" w:color="auto" w:fill="F4F6FC"/>
            <w:tcMar>
              <w:top w:w="80" w:type="dxa"/>
              <w:left w:w="100" w:type="dxa"/>
              <w:bottom w:w="80" w:type="dxa"/>
              <w:right w:w="100" w:type="dxa"/>
            </w:tcMar>
          </w:tcPr>
          <w:p w14:paraId="05E0C2F5" w14:textId="77777777" w:rsidR="00BD6C14" w:rsidRPr="00C64B61" w:rsidRDefault="00000000">
            <w:pPr>
              <w:jc w:val="center"/>
            </w:pPr>
            <w:r w:rsidRPr="00C64B61">
              <w:rPr>
                <w:b/>
                <w:bCs/>
                <w:color w:val="14183E"/>
              </w:rPr>
              <w:t>Early drawdown protection with systematic re-entry</w:t>
            </w:r>
          </w:p>
        </w:tc>
      </w:tr>
      <w:tr w:rsidR="00BD6C14" w:rsidRPr="00C64B61" w14:paraId="7C5F980F" w14:textId="77777777">
        <w:tc>
          <w:tcPr>
            <w:tcW w:w="1883" w:type="dxa"/>
            <w:tcBorders>
              <w:top w:val="none" w:sz="0" w:space="0" w:color="FFFFFF"/>
              <w:left w:val="none" w:sz="0" w:space="0" w:color="FFFFFF"/>
              <w:bottom w:val="none" w:sz="0" w:space="0" w:color="FFFFFF"/>
              <w:right w:val="none" w:sz="0" w:space="0" w:color="FFFFFF"/>
            </w:tcBorders>
            <w:shd w:val="clear" w:color="auto" w:fill="FFFFFF"/>
            <w:tcMar>
              <w:top w:w="80" w:type="dxa"/>
              <w:left w:w="100" w:type="dxa"/>
              <w:bottom w:w="80" w:type="dxa"/>
              <w:right w:w="100" w:type="dxa"/>
            </w:tcMar>
          </w:tcPr>
          <w:p w14:paraId="1A8FCABB" w14:textId="77777777" w:rsidR="00BD6C14" w:rsidRPr="00C64B61" w:rsidRDefault="00000000">
            <w:r w:rsidRPr="00C64B61">
              <w:rPr>
                <w:b/>
                <w:bCs/>
                <w:color w:val="14183E"/>
              </w:rPr>
              <w:t>Sideways / range-bound</w:t>
            </w:r>
          </w:p>
        </w:tc>
        <w:tc>
          <w:tcPr>
            <w:tcW w:w="2825" w:type="dxa"/>
            <w:tcBorders>
              <w:top w:val="none" w:sz="0" w:space="0" w:color="FFFFFF"/>
              <w:left w:val="none" w:sz="0" w:space="0" w:color="FFFFFF"/>
              <w:bottom w:val="none" w:sz="0" w:space="0" w:color="FFFFFF"/>
              <w:right w:val="none" w:sz="0" w:space="0" w:color="FFFFFF"/>
            </w:tcBorders>
            <w:shd w:val="clear" w:color="auto" w:fill="FFFFFF"/>
            <w:tcMar>
              <w:top w:w="80" w:type="dxa"/>
              <w:left w:w="100" w:type="dxa"/>
              <w:bottom w:w="80" w:type="dxa"/>
              <w:right w:w="100" w:type="dxa"/>
            </w:tcMar>
          </w:tcPr>
          <w:p w14:paraId="1961315E" w14:textId="77777777" w:rsidR="00BD6C14" w:rsidRPr="00C64B61" w:rsidRDefault="00000000">
            <w:pPr>
              <w:jc w:val="center"/>
            </w:pPr>
            <w:r w:rsidRPr="00C64B61">
              <w:rPr>
                <w:color w:val="2C325C"/>
              </w:rPr>
              <w:t>Frequent buy/sell at thresholds; generates alpha from volatility</w:t>
            </w:r>
          </w:p>
        </w:tc>
        <w:tc>
          <w:tcPr>
            <w:tcW w:w="2825" w:type="dxa"/>
            <w:tcBorders>
              <w:top w:val="none" w:sz="0" w:space="0" w:color="FFFFFF"/>
              <w:left w:val="none" w:sz="0" w:space="0" w:color="FFFFFF"/>
              <w:bottom w:val="none" w:sz="0" w:space="0" w:color="FFFFFF"/>
              <w:right w:val="none" w:sz="0" w:space="0" w:color="FFFFFF"/>
            </w:tcBorders>
            <w:shd w:val="clear" w:color="auto" w:fill="FFFFFF"/>
            <w:tcMar>
              <w:top w:w="80" w:type="dxa"/>
              <w:left w:w="100" w:type="dxa"/>
              <w:bottom w:w="80" w:type="dxa"/>
              <w:right w:w="100" w:type="dxa"/>
            </w:tcMar>
          </w:tcPr>
          <w:p w14:paraId="40AF96ED" w14:textId="77777777" w:rsidR="00BD6C14" w:rsidRPr="00C64B61" w:rsidRDefault="00000000">
            <w:pPr>
              <w:jc w:val="center"/>
            </w:pPr>
            <w:r w:rsidRPr="00C64B61">
              <w:rPr>
                <w:color w:val="2C325C"/>
              </w:rPr>
              <w:t>Minimal exposure; preserves capital</w:t>
            </w:r>
          </w:p>
        </w:tc>
        <w:tc>
          <w:tcPr>
            <w:tcW w:w="2933" w:type="dxa"/>
            <w:tcBorders>
              <w:top w:val="none" w:sz="0" w:space="0" w:color="FFFFFF"/>
              <w:left w:val="none" w:sz="0" w:space="0" w:color="FFFFFF"/>
              <w:bottom w:val="none" w:sz="0" w:space="0" w:color="FFFFFF"/>
              <w:right w:val="none" w:sz="0" w:space="0" w:color="FFFFFF"/>
            </w:tcBorders>
            <w:shd w:val="clear" w:color="auto" w:fill="FFFFFF"/>
            <w:tcMar>
              <w:top w:w="80" w:type="dxa"/>
              <w:left w:w="100" w:type="dxa"/>
              <w:bottom w:w="80" w:type="dxa"/>
              <w:right w:w="100" w:type="dxa"/>
            </w:tcMar>
          </w:tcPr>
          <w:p w14:paraId="2B3DC948" w14:textId="77777777" w:rsidR="00BD6C14" w:rsidRPr="00C64B61" w:rsidRDefault="00000000">
            <w:pPr>
              <w:jc w:val="center"/>
            </w:pPr>
            <w:r w:rsidRPr="00C64B61">
              <w:rPr>
                <w:b/>
                <w:bCs/>
                <w:color w:val="14183E"/>
              </w:rPr>
              <w:t>Lower volatility with modest positive carry</w:t>
            </w:r>
          </w:p>
        </w:tc>
      </w:tr>
      <w:tr w:rsidR="00BD6C14" w:rsidRPr="00C64B61" w14:paraId="6258061D" w14:textId="77777777">
        <w:tc>
          <w:tcPr>
            <w:tcW w:w="1883" w:type="dxa"/>
            <w:tcBorders>
              <w:top w:val="none" w:sz="0" w:space="0" w:color="FFFFFF"/>
              <w:left w:val="none" w:sz="0" w:space="0" w:color="FFFFFF"/>
              <w:bottom w:val="none" w:sz="0" w:space="0" w:color="FFFFFF"/>
              <w:right w:val="none" w:sz="0" w:space="0" w:color="FFFFFF"/>
            </w:tcBorders>
            <w:shd w:val="clear" w:color="auto" w:fill="F4F6FC"/>
            <w:tcMar>
              <w:top w:w="80" w:type="dxa"/>
              <w:left w:w="100" w:type="dxa"/>
              <w:bottom w:w="80" w:type="dxa"/>
              <w:right w:w="100" w:type="dxa"/>
            </w:tcMar>
          </w:tcPr>
          <w:p w14:paraId="7A596D88" w14:textId="77777777" w:rsidR="00BD6C14" w:rsidRPr="00C64B61" w:rsidRDefault="00000000">
            <w:r w:rsidRPr="00C64B61">
              <w:rPr>
                <w:b/>
                <w:bCs/>
                <w:color w:val="14183E"/>
              </w:rPr>
              <w:t>Sustained downtrend</w:t>
            </w:r>
          </w:p>
        </w:tc>
        <w:tc>
          <w:tcPr>
            <w:tcW w:w="2825" w:type="dxa"/>
            <w:tcBorders>
              <w:top w:val="none" w:sz="0" w:space="0" w:color="FFFFFF"/>
              <w:left w:val="none" w:sz="0" w:space="0" w:color="FFFFFF"/>
              <w:bottom w:val="none" w:sz="0" w:space="0" w:color="FFFFFF"/>
              <w:right w:val="none" w:sz="0" w:space="0" w:color="FFFFFF"/>
            </w:tcBorders>
            <w:shd w:val="clear" w:color="auto" w:fill="F4F6FC"/>
            <w:tcMar>
              <w:top w:w="80" w:type="dxa"/>
              <w:left w:w="100" w:type="dxa"/>
              <w:bottom w:w="80" w:type="dxa"/>
              <w:right w:w="100" w:type="dxa"/>
            </w:tcMar>
          </w:tcPr>
          <w:p w14:paraId="53CC04CC" w14:textId="77777777" w:rsidR="00BD6C14" w:rsidRPr="00C64B61" w:rsidRDefault="00000000">
            <w:pPr>
              <w:jc w:val="center"/>
            </w:pPr>
            <w:r w:rsidRPr="00C64B61">
              <w:rPr>
                <w:color w:val="2C325C"/>
              </w:rPr>
              <w:t>Cash accumulation; limited downside</w:t>
            </w:r>
          </w:p>
        </w:tc>
        <w:tc>
          <w:tcPr>
            <w:tcW w:w="2825" w:type="dxa"/>
            <w:tcBorders>
              <w:top w:val="none" w:sz="0" w:space="0" w:color="FFFFFF"/>
              <w:left w:val="none" w:sz="0" w:space="0" w:color="FFFFFF"/>
              <w:bottom w:val="none" w:sz="0" w:space="0" w:color="FFFFFF"/>
              <w:right w:val="none" w:sz="0" w:space="0" w:color="FFFFFF"/>
            </w:tcBorders>
            <w:shd w:val="clear" w:color="auto" w:fill="F4F6FC"/>
            <w:tcMar>
              <w:top w:w="80" w:type="dxa"/>
              <w:left w:w="100" w:type="dxa"/>
              <w:bottom w:w="80" w:type="dxa"/>
              <w:right w:w="100" w:type="dxa"/>
            </w:tcMar>
          </w:tcPr>
          <w:p w14:paraId="54E0F2D4" w14:textId="77777777" w:rsidR="00BD6C14" w:rsidRPr="00C64B61" w:rsidRDefault="00000000">
            <w:pPr>
              <w:jc w:val="center"/>
            </w:pPr>
            <w:r w:rsidRPr="00C64B61">
              <w:rPr>
                <w:color w:val="2C325C"/>
              </w:rPr>
              <w:t>Minimal exposure; protected downside</w:t>
            </w:r>
          </w:p>
        </w:tc>
        <w:tc>
          <w:tcPr>
            <w:tcW w:w="2933" w:type="dxa"/>
            <w:tcBorders>
              <w:top w:val="none" w:sz="0" w:space="0" w:color="FFFFFF"/>
              <w:left w:val="none" w:sz="0" w:space="0" w:color="FFFFFF"/>
              <w:bottom w:val="none" w:sz="0" w:space="0" w:color="FFFFFF"/>
              <w:right w:val="none" w:sz="0" w:space="0" w:color="FFFFFF"/>
            </w:tcBorders>
            <w:shd w:val="clear" w:color="auto" w:fill="F4F6FC"/>
            <w:tcMar>
              <w:top w:w="80" w:type="dxa"/>
              <w:left w:w="100" w:type="dxa"/>
              <w:bottom w:w="80" w:type="dxa"/>
              <w:right w:w="100" w:type="dxa"/>
            </w:tcMar>
          </w:tcPr>
          <w:p w14:paraId="54D09E5C" w14:textId="77777777" w:rsidR="00BD6C14" w:rsidRPr="00C64B61" w:rsidRDefault="00000000">
            <w:pPr>
              <w:jc w:val="center"/>
            </w:pPr>
            <w:r w:rsidRPr="00C64B61">
              <w:rPr>
                <w:b/>
                <w:bCs/>
                <w:color w:val="14183E"/>
              </w:rPr>
              <w:t>Strong capital preservation</w:t>
            </w:r>
          </w:p>
        </w:tc>
      </w:tr>
    </w:tbl>
    <w:p w14:paraId="65EF6671" w14:textId="77777777" w:rsidR="00BD6C14" w:rsidRDefault="00BD6C14">
      <w:pPr>
        <w:spacing w:before="80"/>
      </w:pP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488"/>
        <w:gridCol w:w="3978"/>
      </w:tblGrid>
      <w:tr w:rsidR="00BD6C14" w14:paraId="21F23E35" w14:textId="77777777">
        <w:tc>
          <w:tcPr>
            <w:tcW w:w="6488" w:type="dxa"/>
            <w:tcBorders>
              <w:top w:val="none" w:sz="0" w:space="0" w:color="FFFFFF"/>
              <w:left w:val="none" w:sz="0" w:space="0" w:color="FFFFFF"/>
              <w:bottom w:val="none" w:sz="0" w:space="0" w:color="FFFFFF"/>
              <w:right w:val="none" w:sz="0" w:space="0" w:color="FFFFFF"/>
            </w:tcBorders>
            <w:shd w:val="clear" w:color="auto" w:fill="2FBF9F"/>
            <w:tcMar>
              <w:top w:w="120" w:type="dxa"/>
              <w:left w:w="200" w:type="dxa"/>
              <w:bottom w:w="120" w:type="dxa"/>
              <w:right w:w="120" w:type="dxa"/>
            </w:tcMar>
          </w:tcPr>
          <w:p w14:paraId="2C39EA13" w14:textId="77777777" w:rsidR="00BD6C14" w:rsidRDefault="00000000">
            <w:pPr>
              <w:spacing w:after="50"/>
            </w:pPr>
            <w:r>
              <w:rPr>
                <w:b/>
                <w:bCs/>
                <w:color w:val="FFFFFF"/>
                <w:sz w:val="22"/>
                <w:szCs w:val="22"/>
              </w:rPr>
              <w:t>Ready to explore the BX Bitcoin Model?</w:t>
            </w:r>
          </w:p>
          <w:p w14:paraId="44D59964" w14:textId="77777777" w:rsidR="00BD6C14" w:rsidRDefault="00000000">
            <w:r>
              <w:rPr>
                <w:color w:val="C6EFE5"/>
                <w:sz w:val="15"/>
                <w:szCs w:val="15"/>
              </w:rPr>
              <w:t>Speak with our team to learn how this strategy fits your client portfolios</w:t>
            </w:r>
          </w:p>
        </w:tc>
        <w:tc>
          <w:tcPr>
            <w:tcW w:w="3978" w:type="dxa"/>
            <w:tcBorders>
              <w:top w:val="none" w:sz="0" w:space="0" w:color="FFFFFF"/>
              <w:left w:val="none" w:sz="0" w:space="0" w:color="FFFFFF"/>
              <w:bottom w:val="none" w:sz="0" w:space="0" w:color="FFFFFF"/>
              <w:right w:val="none" w:sz="0" w:space="0" w:color="FFFFFF"/>
            </w:tcBorders>
            <w:shd w:val="clear" w:color="auto" w:fill="2FBF9F"/>
            <w:tcMar>
              <w:top w:w="120" w:type="dxa"/>
              <w:left w:w="120" w:type="dxa"/>
              <w:bottom w:w="120" w:type="dxa"/>
              <w:right w:w="200" w:type="dxa"/>
            </w:tcMar>
          </w:tcPr>
          <w:p w14:paraId="516A7DE6" w14:textId="77777777" w:rsidR="00BD6C14" w:rsidRDefault="00000000">
            <w:pPr>
              <w:spacing w:after="40"/>
              <w:jc w:val="right"/>
            </w:pPr>
            <w:r>
              <w:rPr>
                <w:b/>
                <w:bCs/>
                <w:color w:val="FFFFFF"/>
              </w:rPr>
              <w:t>BX Partners</w:t>
            </w:r>
          </w:p>
          <w:p w14:paraId="7D6CC1F5" w14:textId="77777777" w:rsidR="00BD6C14" w:rsidRDefault="00000000">
            <w:pPr>
              <w:spacing w:after="40"/>
              <w:jc w:val="right"/>
            </w:pPr>
            <w:r>
              <w:rPr>
                <w:color w:val="FFFFFF"/>
                <w:sz w:val="15"/>
                <w:szCs w:val="15"/>
              </w:rPr>
              <w:t>bxindex.com</w:t>
            </w:r>
          </w:p>
          <w:p w14:paraId="5059D94D" w14:textId="77777777" w:rsidR="00BD6C14" w:rsidRDefault="00000000">
            <w:pPr>
              <w:jc w:val="right"/>
            </w:pPr>
            <w:r>
              <w:rPr>
                <w:color w:val="C6EFE5"/>
                <w:sz w:val="13"/>
                <w:szCs w:val="13"/>
              </w:rPr>
              <w:t>For Financial Professionals Only</w:t>
            </w:r>
          </w:p>
        </w:tc>
      </w:tr>
    </w:tbl>
    <w:p w14:paraId="65494BEC" w14:textId="77777777" w:rsidR="00BD6C14" w:rsidRDefault="00BD6C14">
      <w:pPr>
        <w:spacing w:before="60"/>
      </w:pPr>
    </w:p>
    <w:tbl>
      <w:tblPr>
        <w:tblW w:w="1046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466"/>
      </w:tblGrid>
      <w:tr w:rsidR="00BD6C14" w14:paraId="3D316643" w14:textId="77777777">
        <w:tc>
          <w:tcPr>
            <w:tcW w:w="10466" w:type="dxa"/>
            <w:tcBorders>
              <w:top w:val="none" w:sz="0" w:space="0" w:color="FFFFFF"/>
              <w:left w:val="none" w:sz="0" w:space="0" w:color="FFFFFF"/>
              <w:bottom w:val="none" w:sz="0" w:space="0" w:color="FFFFFF"/>
              <w:right w:val="none" w:sz="0" w:space="0" w:color="FFFFFF"/>
            </w:tcBorders>
            <w:shd w:val="clear" w:color="auto" w:fill="F4F6FC"/>
            <w:tcMar>
              <w:top w:w="100" w:type="dxa"/>
              <w:left w:w="200" w:type="dxa"/>
              <w:bottom w:w="100" w:type="dxa"/>
              <w:right w:w="200" w:type="dxa"/>
            </w:tcMar>
          </w:tcPr>
          <w:p w14:paraId="47F28050" w14:textId="77777777" w:rsidR="00BD6C14" w:rsidRDefault="00000000">
            <w:r>
              <w:rPr>
                <w:i/>
                <w:iCs/>
                <w:color w:val="666F9E"/>
                <w:sz w:val="13"/>
                <w:szCs w:val="13"/>
              </w:rPr>
              <w:t>Past performance is not indicative of future results. All figures are backtested and hypothetical — they do not represent live trading results. Actual results may vary significantly. This document is for informational and educational purposes only and does not constitute investment advice, a solicitation, or an offer to buy or sell any security. All investments involve risk, including possible loss of principal. Bitcoin and digital assets are subject to extreme price volatility, regulatory uncertainty, and market illiquidity. Investors must consult their own legal, tax, and financial advisors before committing capital. Performance metrics are calculated using daily log returns; annualisation uses 252 trading days per year. Maximum drawdown is the largest peak-to-trough decline over the stated period.</w:t>
            </w:r>
          </w:p>
        </w:tc>
      </w:tr>
    </w:tbl>
    <w:p w14:paraId="2B2CF314" w14:textId="77777777" w:rsidR="00D63F07" w:rsidRDefault="00D63F07"/>
    <w:sectPr w:rsidR="00D63F07">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B588C"/>
    <w:multiLevelType w:val="hybridMultilevel"/>
    <w:tmpl w:val="7618EA78"/>
    <w:lvl w:ilvl="0" w:tplc="9B440892">
      <w:start w:val="1"/>
      <w:numFmt w:val="bullet"/>
      <w:lvlText w:val="●"/>
      <w:lvlJc w:val="left"/>
      <w:pPr>
        <w:ind w:left="720" w:hanging="360"/>
      </w:pPr>
    </w:lvl>
    <w:lvl w:ilvl="1" w:tplc="4A6C9220">
      <w:start w:val="1"/>
      <w:numFmt w:val="bullet"/>
      <w:lvlText w:val="○"/>
      <w:lvlJc w:val="left"/>
      <w:pPr>
        <w:ind w:left="1440" w:hanging="360"/>
      </w:pPr>
    </w:lvl>
    <w:lvl w:ilvl="2" w:tplc="613A5CA8">
      <w:start w:val="1"/>
      <w:numFmt w:val="bullet"/>
      <w:lvlText w:val="■"/>
      <w:lvlJc w:val="left"/>
      <w:pPr>
        <w:ind w:left="2160" w:hanging="360"/>
      </w:pPr>
    </w:lvl>
    <w:lvl w:ilvl="3" w:tplc="02E094DC">
      <w:start w:val="1"/>
      <w:numFmt w:val="bullet"/>
      <w:lvlText w:val="●"/>
      <w:lvlJc w:val="left"/>
      <w:pPr>
        <w:ind w:left="2880" w:hanging="360"/>
      </w:pPr>
    </w:lvl>
    <w:lvl w:ilvl="4" w:tplc="54966A62">
      <w:start w:val="1"/>
      <w:numFmt w:val="bullet"/>
      <w:lvlText w:val="○"/>
      <w:lvlJc w:val="left"/>
      <w:pPr>
        <w:ind w:left="3600" w:hanging="360"/>
      </w:pPr>
    </w:lvl>
    <w:lvl w:ilvl="5" w:tplc="D44C291E">
      <w:start w:val="1"/>
      <w:numFmt w:val="bullet"/>
      <w:lvlText w:val="■"/>
      <w:lvlJc w:val="left"/>
      <w:pPr>
        <w:ind w:left="4320" w:hanging="360"/>
      </w:pPr>
    </w:lvl>
    <w:lvl w:ilvl="6" w:tplc="B810CC38">
      <w:start w:val="1"/>
      <w:numFmt w:val="bullet"/>
      <w:lvlText w:val="●"/>
      <w:lvlJc w:val="left"/>
      <w:pPr>
        <w:ind w:left="5040" w:hanging="360"/>
      </w:pPr>
    </w:lvl>
    <w:lvl w:ilvl="7" w:tplc="02E2FBB6">
      <w:start w:val="1"/>
      <w:numFmt w:val="bullet"/>
      <w:lvlText w:val="●"/>
      <w:lvlJc w:val="left"/>
      <w:pPr>
        <w:ind w:left="5760" w:hanging="360"/>
      </w:pPr>
    </w:lvl>
    <w:lvl w:ilvl="8" w:tplc="07583D3A">
      <w:start w:val="1"/>
      <w:numFmt w:val="bullet"/>
      <w:lvlText w:val="●"/>
      <w:lvlJc w:val="left"/>
      <w:pPr>
        <w:ind w:left="6480" w:hanging="360"/>
      </w:pPr>
    </w:lvl>
  </w:abstractNum>
  <w:num w:numId="1" w16cid:durableId="14959953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C14"/>
    <w:rsid w:val="00040336"/>
    <w:rsid w:val="000E14EA"/>
    <w:rsid w:val="00726422"/>
    <w:rsid w:val="007C0781"/>
    <w:rsid w:val="00B74657"/>
    <w:rsid w:val="00BD6C14"/>
    <w:rsid w:val="00C64B61"/>
    <w:rsid w:val="00CD6ABB"/>
    <w:rsid w:val="00D63F07"/>
    <w:rsid w:val="00E436B1"/>
    <w:rsid w:val="00FB610F"/>
    <w:rsid w:val="00FC70C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808C"/>
  <w15:docId w15:val="{FF8829EB-B3CE-4CA8-80FB-BF65D2746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18"/>
        <w:szCs w:val="1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Atharv Shinde</cp:lastModifiedBy>
  <cp:revision>4</cp:revision>
  <dcterms:created xsi:type="dcterms:W3CDTF">2026-07-27T19:46:00Z</dcterms:created>
  <dcterms:modified xsi:type="dcterms:W3CDTF">2026-07-27T19:51:00Z</dcterms:modified>
</cp:coreProperties>
</file>